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仿宋_GB2312" w:eastAsia="仿宋_GB2312"/>
          <w:sz w:val="44"/>
          <w:szCs w:val="44"/>
        </w:rPr>
      </w:pPr>
    </w:p>
    <w:p>
      <w:pPr>
        <w:spacing w:line="360" w:lineRule="auto"/>
        <w:rPr>
          <w:rFonts w:ascii="仿宋_GB2312" w:eastAsia="仿宋_GB2312"/>
          <w:sz w:val="44"/>
          <w:szCs w:val="44"/>
        </w:rPr>
      </w:pPr>
      <w:bookmarkStart w:id="1" w:name="_GoBack"/>
      <w:bookmarkEnd w:id="1"/>
    </w:p>
    <w:p>
      <w:pPr>
        <w:spacing w:line="360" w:lineRule="auto"/>
        <w:rPr>
          <w:rFonts w:ascii="仿宋_GB2312" w:eastAsia="仿宋_GB2312"/>
          <w:sz w:val="44"/>
          <w:szCs w:val="44"/>
        </w:rPr>
      </w:pPr>
    </w:p>
    <w:p>
      <w:pPr>
        <w:spacing w:line="360" w:lineRule="auto"/>
        <w:rPr>
          <w:rFonts w:ascii="仿宋_GB2312" w:eastAsia="仿宋_GB2312"/>
          <w:sz w:val="44"/>
          <w:szCs w:val="44"/>
        </w:rPr>
      </w:pPr>
    </w:p>
    <w:p>
      <w:pPr>
        <w:jc w:val="center"/>
        <w:rPr>
          <w:rFonts w:ascii="宋体" w:hAnsi="宋体"/>
          <w:sz w:val="44"/>
          <w:szCs w:val="44"/>
        </w:rPr>
      </w:pPr>
      <w:r>
        <w:rPr>
          <w:rFonts w:ascii="宋体" w:hAnsi="宋体"/>
          <w:sz w:val="44"/>
          <w:szCs w:val="44"/>
        </w:rPr>
        <w:t>20</w:t>
      </w:r>
      <w:r>
        <w:rPr>
          <w:rFonts w:hint="eastAsia" w:ascii="宋体" w:hAnsi="宋体"/>
          <w:sz w:val="44"/>
          <w:szCs w:val="44"/>
        </w:rPr>
        <w:t>20</w:t>
      </w:r>
      <w:r>
        <w:rPr>
          <w:rFonts w:ascii="宋体" w:hAnsi="宋体"/>
          <w:sz w:val="44"/>
          <w:szCs w:val="44"/>
        </w:rPr>
        <w:t>年</w:t>
      </w:r>
      <w:r>
        <w:rPr>
          <w:rFonts w:hint="eastAsia" w:ascii="宋体" w:hAnsi="宋体"/>
          <w:sz w:val="44"/>
          <w:szCs w:val="44"/>
        </w:rPr>
        <w:t>度部门</w:t>
      </w:r>
      <w:r>
        <w:rPr>
          <w:rFonts w:ascii="宋体" w:hAnsi="宋体"/>
          <w:sz w:val="44"/>
          <w:szCs w:val="44"/>
        </w:rPr>
        <w:t>整体绩效自评报告</w:t>
      </w: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jc w:val="right"/>
        <w:rPr>
          <w:rFonts w:ascii="仿宋_GB2312" w:eastAsia="仿宋_GB2312"/>
          <w:sz w:val="32"/>
          <w:szCs w:val="32"/>
        </w:rPr>
      </w:pPr>
      <w:r>
        <w:rPr>
          <w:rFonts w:hint="eastAsia" w:ascii="仿宋_GB2312" w:eastAsia="仿宋_GB2312"/>
          <w:sz w:val="32"/>
          <w:szCs w:val="32"/>
        </w:rPr>
        <w:t>部门名称（公章）：深圳市大鹏新区大鹏第二小学</w:t>
      </w:r>
    </w:p>
    <w:p>
      <w:pPr>
        <w:spacing w:line="360" w:lineRule="auto"/>
        <w:ind w:firstLine="1280" w:firstLineChars="400"/>
        <w:rPr>
          <w:rFonts w:ascii="仿宋_GB2312" w:eastAsia="仿宋_GB2312"/>
          <w:sz w:val="32"/>
          <w:szCs w:val="32"/>
        </w:rPr>
      </w:pPr>
      <w:r>
        <w:rPr>
          <w:rFonts w:hint="eastAsia" w:ascii="仿宋_GB2312" w:eastAsia="仿宋_GB2312"/>
          <w:sz w:val="32"/>
          <w:szCs w:val="32"/>
        </w:rPr>
        <w:t>填报人：郑伟彬</w:t>
      </w:r>
    </w:p>
    <w:p>
      <w:pPr>
        <w:spacing w:line="360" w:lineRule="auto"/>
        <w:ind w:firstLine="1280" w:firstLineChars="400"/>
        <w:rPr>
          <w:rFonts w:ascii="仿宋_GB2312" w:eastAsia="仿宋_GB2312"/>
          <w:sz w:val="32"/>
          <w:szCs w:val="32"/>
        </w:rPr>
      </w:pPr>
      <w:r>
        <w:rPr>
          <w:rFonts w:hint="eastAsia" w:ascii="仿宋_GB2312" w:eastAsia="仿宋_GB2312"/>
          <w:sz w:val="32"/>
          <w:szCs w:val="32"/>
        </w:rPr>
        <w:t>联系电话：0755-84315426</w:t>
      </w:r>
    </w:p>
    <w:p>
      <w:pPr>
        <w:jc w:val="center"/>
        <w:rPr>
          <w:rFonts w:ascii="仿宋_GB2312" w:eastAsia="仿宋_GB2312"/>
          <w:sz w:val="32"/>
          <w:szCs w:val="32"/>
        </w:rPr>
      </w:pPr>
    </w:p>
    <w:p>
      <w:pPr>
        <w:jc w:val="center"/>
        <w:rPr>
          <w:rFonts w:ascii="宋体" w:hAnsi="宋体"/>
          <w:sz w:val="44"/>
          <w:szCs w:val="44"/>
        </w:rPr>
      </w:pPr>
    </w:p>
    <w:p>
      <w:pPr>
        <w:jc w:val="center"/>
        <w:rPr>
          <w:rFonts w:ascii="宋体" w:hAnsi="宋体"/>
          <w:sz w:val="44"/>
          <w:szCs w:val="44"/>
        </w:rPr>
      </w:pPr>
    </w:p>
    <w:p>
      <w:pPr>
        <w:rPr>
          <w:rFonts w:ascii="宋体" w:hAnsi="宋体"/>
          <w:sz w:val="44"/>
          <w:szCs w:val="44"/>
        </w:rPr>
      </w:pPr>
    </w:p>
    <w:p>
      <w:pPr>
        <w:rPr>
          <w:rFonts w:ascii="宋体" w:hAnsi="宋体"/>
          <w:sz w:val="44"/>
          <w:szCs w:val="44"/>
        </w:rPr>
      </w:pPr>
    </w:p>
    <w:p>
      <w:pPr>
        <w:rPr>
          <w:rFonts w:ascii="宋体" w:hAnsi="宋体"/>
          <w:sz w:val="44"/>
          <w:szCs w:val="44"/>
        </w:rPr>
      </w:pPr>
    </w:p>
    <w:p>
      <w:pPr>
        <w:snapToGrid w:val="0"/>
        <w:spacing w:line="540" w:lineRule="exact"/>
        <w:rPr>
          <w:rFonts w:ascii="宋体" w:hAnsi="宋体"/>
          <w:sz w:val="44"/>
          <w:szCs w:val="44"/>
        </w:rPr>
      </w:pPr>
    </w:p>
    <w:p>
      <w:pPr>
        <w:ind w:firstLine="640" w:firstLineChars="200"/>
        <w:rPr>
          <w:rFonts w:ascii="仿宋_GB2312" w:hAnsi="黑体" w:eastAsia="仿宋_GB2312"/>
          <w:sz w:val="32"/>
          <w:szCs w:val="32"/>
        </w:rPr>
      </w:pPr>
    </w:p>
    <w:p>
      <w:pPr>
        <w:ind w:firstLine="640" w:firstLineChars="200"/>
        <w:rPr>
          <w:rFonts w:ascii="仿宋_GB2312" w:hAnsi="黑体" w:eastAsia="仿宋_GB2312"/>
          <w:sz w:val="32"/>
          <w:szCs w:val="32"/>
        </w:rPr>
      </w:pPr>
      <w:r>
        <w:rPr>
          <w:rFonts w:hint="eastAsia" w:ascii="仿宋_GB2312" w:hAnsi="黑体" w:eastAsia="仿宋_GB2312"/>
          <w:sz w:val="32"/>
          <w:szCs w:val="32"/>
        </w:rPr>
        <w:t>为贯彻落实党的十九大精神，按照《中共中央 国务院关于全面实施预算绩效管理的意见》《深圳市财政局关于贯彻落实全面实施预算绩效管理有关事项的通知》及《大鹏新区贯彻落实全面实施预算绩效管理实施方案》要求，根据《中华人民共和国预算法》及实施条例，结合大鹏新区发展和财政局关于《做好新区2021预算绩效管理工作的通知》（深鹏发财函〔2021〕51号）要求，深圳市大鹏新区大鹏第二小学校（以下简称“我校”）组织绩效评价小组对2020年度部门整体支出展开绩效自评工作，现将评价情况及结果报告如下。</w:t>
      </w:r>
    </w:p>
    <w:p>
      <w:pPr>
        <w:ind w:firstLine="420"/>
        <w:rPr>
          <w:rFonts w:ascii="黑体" w:hAnsi="黑体" w:eastAsia="黑体"/>
          <w:sz w:val="32"/>
          <w:szCs w:val="32"/>
        </w:rPr>
      </w:pPr>
      <w:r>
        <w:rPr>
          <w:rFonts w:hint="eastAsia" w:ascii="黑体" w:hAnsi="黑体" w:eastAsia="黑体"/>
          <w:sz w:val="32"/>
          <w:szCs w:val="32"/>
        </w:rPr>
        <w:t>一、部门（单位）基本情况</w:t>
      </w:r>
    </w:p>
    <w:p>
      <w:pPr>
        <w:ind w:firstLine="420"/>
        <w:rPr>
          <w:rFonts w:ascii="楷体" w:hAnsi="楷体" w:eastAsia="楷体"/>
          <w:b/>
          <w:sz w:val="32"/>
          <w:szCs w:val="32"/>
        </w:rPr>
      </w:pPr>
      <w:r>
        <w:rPr>
          <w:rFonts w:hint="eastAsia" w:ascii="楷体" w:hAnsi="楷体" w:eastAsia="楷体"/>
          <w:b/>
          <w:sz w:val="32"/>
          <w:szCs w:val="32"/>
        </w:rPr>
        <w:t>（一）部门主要职能</w:t>
      </w:r>
    </w:p>
    <w:p>
      <w:pPr>
        <w:ind w:firstLine="640" w:firstLineChars="200"/>
        <w:rPr>
          <w:rFonts w:ascii="仿宋_GB2312" w:eastAsia="仿宋_GB2312"/>
          <w:sz w:val="32"/>
          <w:szCs w:val="32"/>
        </w:rPr>
      </w:pPr>
      <w:r>
        <w:rPr>
          <w:rFonts w:hint="eastAsia" w:ascii="仿宋_GB2312" w:eastAsia="仿宋_GB2312"/>
          <w:sz w:val="32"/>
          <w:szCs w:val="32"/>
        </w:rPr>
        <w:t>1.全面贯彻党的教育方针，坚持社会主义办学方向，对学生进行德育、智育、体育、美育和劳动教育等方面的教育。</w:t>
      </w:r>
    </w:p>
    <w:p>
      <w:pPr>
        <w:ind w:firstLine="640" w:firstLineChars="200"/>
        <w:rPr>
          <w:rFonts w:ascii="仿宋_GB2312" w:eastAsia="仿宋_GB2312"/>
          <w:sz w:val="32"/>
          <w:szCs w:val="32"/>
        </w:rPr>
      </w:pPr>
      <w:r>
        <w:rPr>
          <w:rFonts w:hint="eastAsia" w:ascii="仿宋_GB2312" w:eastAsia="仿宋_GB2312"/>
          <w:sz w:val="32"/>
          <w:szCs w:val="32"/>
        </w:rPr>
        <w:t>2.按照入学免试原则接收辖区内适龄儿童入学，严格控制学生辍学，依法保证适龄儿童、少年接受九年义务教育。</w:t>
      </w:r>
    </w:p>
    <w:p>
      <w:pPr>
        <w:ind w:firstLine="640" w:firstLineChars="200"/>
        <w:rPr>
          <w:rFonts w:ascii="仿宋_GB2312" w:eastAsia="仿宋_GB2312"/>
          <w:sz w:val="32"/>
          <w:szCs w:val="32"/>
        </w:rPr>
      </w:pPr>
      <w:r>
        <w:rPr>
          <w:rFonts w:hint="eastAsia" w:ascii="仿宋_GB2312" w:eastAsia="仿宋_GB2312"/>
          <w:sz w:val="32"/>
          <w:szCs w:val="32"/>
        </w:rPr>
        <w:t>3.制定学校教育发展规划，并抓好组织实施和落实工作。</w:t>
      </w:r>
    </w:p>
    <w:p>
      <w:pPr>
        <w:ind w:firstLine="640" w:firstLineChars="200"/>
        <w:rPr>
          <w:rFonts w:ascii="仿宋_GB2312" w:eastAsia="仿宋_GB2312"/>
          <w:sz w:val="32"/>
          <w:szCs w:val="32"/>
          <w:highlight w:val="yellow"/>
        </w:rPr>
      </w:pPr>
      <w:r>
        <w:rPr>
          <w:rFonts w:hint="eastAsia" w:ascii="仿宋_GB2312" w:eastAsia="仿宋_GB2312"/>
          <w:sz w:val="32"/>
          <w:szCs w:val="32"/>
        </w:rPr>
        <w:t>4.按照教育主管部门发布的指导性教学计划、教学大纲，组织实施教育教学活动。</w:t>
      </w:r>
    </w:p>
    <w:p>
      <w:pPr>
        <w:ind w:firstLine="640" w:firstLineChars="200"/>
        <w:rPr>
          <w:rFonts w:ascii="仿宋_GB2312" w:eastAsia="仿宋_GB2312"/>
          <w:sz w:val="32"/>
          <w:szCs w:val="32"/>
        </w:rPr>
      </w:pPr>
      <w:r>
        <w:rPr>
          <w:rFonts w:hint="eastAsia" w:ascii="仿宋_GB2312" w:eastAsia="仿宋_GB2312"/>
          <w:sz w:val="32"/>
          <w:szCs w:val="32"/>
        </w:rPr>
        <w:t>5.落实教育主管部门有关教学计划、课程设置等方面的规定，决定和实施本校的教学计划，组织教学评比、集体备课，对学生进行统一考核、素质监测等。</w:t>
      </w:r>
    </w:p>
    <w:p>
      <w:pPr>
        <w:ind w:firstLine="640" w:firstLineChars="200"/>
        <w:rPr>
          <w:rFonts w:ascii="仿宋_GB2312" w:eastAsia="仿宋_GB2312"/>
          <w:sz w:val="32"/>
          <w:szCs w:val="32"/>
        </w:rPr>
      </w:pPr>
      <w:r>
        <w:rPr>
          <w:rFonts w:hint="eastAsia" w:ascii="仿宋_GB2312" w:eastAsia="仿宋_GB2312"/>
          <w:sz w:val="32"/>
          <w:szCs w:val="32"/>
        </w:rPr>
        <w:t>6.认真完成普及初等教育的任务，严格执行小学教学大纲，保证完成小学教育、教学计划，力争“四率”均达到省教委要求，为初中输送合格的新生。</w:t>
      </w:r>
    </w:p>
    <w:p>
      <w:pPr>
        <w:ind w:firstLine="640" w:firstLineChars="200"/>
        <w:rPr>
          <w:rFonts w:ascii="仿宋_GB2312" w:eastAsia="仿宋_GB2312"/>
          <w:sz w:val="32"/>
          <w:szCs w:val="32"/>
        </w:rPr>
      </w:pPr>
      <w:r>
        <w:rPr>
          <w:rFonts w:hint="eastAsia" w:ascii="仿宋_GB2312" w:eastAsia="仿宋_GB2312"/>
          <w:sz w:val="32"/>
          <w:szCs w:val="32"/>
        </w:rPr>
        <w:t>7.做好教师队伍建设，使每个教师都热心于教育事业。</w:t>
      </w:r>
    </w:p>
    <w:p>
      <w:pPr>
        <w:ind w:firstLine="640" w:firstLineChars="200"/>
        <w:rPr>
          <w:rFonts w:ascii="仿宋_GB2312" w:eastAsia="仿宋_GB2312"/>
          <w:sz w:val="32"/>
          <w:szCs w:val="32"/>
        </w:rPr>
      </w:pPr>
      <w:r>
        <w:rPr>
          <w:rFonts w:hint="eastAsia" w:ascii="仿宋_GB2312" w:eastAsia="仿宋_GB2312"/>
          <w:sz w:val="32"/>
          <w:szCs w:val="32"/>
        </w:rPr>
        <w:t>8.严格执行财务管理制度，科学管理、合理使用学校的设施和经费，并积极筹措资金，改善办学条件。</w:t>
      </w:r>
    </w:p>
    <w:p>
      <w:pPr>
        <w:ind w:firstLine="640" w:firstLineChars="200"/>
        <w:rPr>
          <w:rFonts w:ascii="仿宋_GB2312" w:eastAsia="仿宋_GB2312"/>
          <w:sz w:val="32"/>
          <w:szCs w:val="32"/>
        </w:rPr>
      </w:pPr>
      <w:r>
        <w:rPr>
          <w:rFonts w:hint="eastAsia" w:ascii="仿宋_GB2312" w:eastAsia="仿宋_GB2312"/>
          <w:sz w:val="32"/>
          <w:szCs w:val="32"/>
        </w:rPr>
        <w:t>9.负责维护学校、师生的合法权益，有权拒绝任何组织和个人对教育教学活动进行非法干涉，保障师生安全。</w:t>
      </w:r>
    </w:p>
    <w:p>
      <w:pPr>
        <w:ind w:firstLine="640" w:firstLineChars="200"/>
        <w:rPr>
          <w:rFonts w:ascii="仿宋_GB2312" w:eastAsia="仿宋_GB2312"/>
          <w:sz w:val="32"/>
          <w:szCs w:val="32"/>
        </w:rPr>
      </w:pPr>
      <w:r>
        <w:rPr>
          <w:rFonts w:hint="eastAsia" w:ascii="仿宋_GB2312" w:eastAsia="仿宋_GB2312"/>
          <w:sz w:val="32"/>
          <w:szCs w:val="32"/>
        </w:rPr>
        <w:t>10.依法接受各级教育行政部门的检查指导和人民群众的监督。</w:t>
      </w:r>
    </w:p>
    <w:p>
      <w:pPr>
        <w:ind w:firstLine="420"/>
        <w:rPr>
          <w:rFonts w:ascii="楷体" w:hAnsi="楷体" w:eastAsia="楷体"/>
          <w:b/>
          <w:sz w:val="32"/>
          <w:szCs w:val="32"/>
        </w:rPr>
      </w:pPr>
      <w:r>
        <w:rPr>
          <w:rFonts w:hint="eastAsia" w:ascii="楷体" w:hAnsi="楷体" w:eastAsia="楷体"/>
          <w:b/>
          <w:sz w:val="32"/>
          <w:szCs w:val="32"/>
        </w:rPr>
        <w:t>（二）年度总体工作和重点工作任务。</w:t>
      </w:r>
    </w:p>
    <w:p>
      <w:pPr>
        <w:ind w:firstLine="640" w:firstLineChars="200"/>
        <w:rPr>
          <w:rFonts w:ascii="仿宋_GB2312" w:eastAsia="仿宋_GB2312"/>
          <w:sz w:val="32"/>
          <w:szCs w:val="32"/>
        </w:rPr>
      </w:pPr>
      <w:r>
        <w:rPr>
          <w:rFonts w:hint="eastAsia" w:ascii="仿宋_GB2312" w:eastAsia="仿宋_GB2312"/>
          <w:sz w:val="32"/>
          <w:szCs w:val="32"/>
        </w:rPr>
        <w:t>2020年，我校全面落实党的教育方针以及国家、省、市有关教育的政策和法律、法规，完成教育主管部门和同级政府部门下达的工作目标任务，确保各项工作顺利开展。本年度我校的总体工作和重点任务主要围绕以习近平新时代中国特色社会主义思想为指导，秉承“为了每个人充分成长”的办学理念，实现“成长教育特色学校”的办学目标，坚持“尊重差异，提高学科素养”的教学理念，提高学校的教育教学质量，保证师生饮食卫生安全、疫情防控安全等。</w:t>
      </w:r>
    </w:p>
    <w:p>
      <w:pPr>
        <w:ind w:firstLine="642" w:firstLineChars="200"/>
        <w:rPr>
          <w:rFonts w:ascii="仿宋_GB2312" w:eastAsia="仿宋_GB2312"/>
          <w:sz w:val="32"/>
          <w:szCs w:val="32"/>
        </w:rPr>
      </w:pPr>
      <w:r>
        <w:rPr>
          <w:rFonts w:hint="eastAsia" w:ascii="仿宋_GB2312" w:eastAsia="仿宋_GB2312"/>
          <w:b/>
          <w:bCs/>
          <w:sz w:val="32"/>
          <w:szCs w:val="32"/>
        </w:rPr>
        <w:t>一是</w:t>
      </w:r>
      <w:r>
        <w:rPr>
          <w:rFonts w:hint="eastAsia" w:ascii="仿宋_GB2312" w:eastAsia="仿宋_GB2312"/>
          <w:sz w:val="32"/>
          <w:szCs w:val="32"/>
        </w:rPr>
        <w:t>以习近平新时代中国特色社会主义思想为指导，全面贯彻党的十九大精神，积极开展“不忘初心、牢记使命”主题教育，不断提高党员队伍和教师队伍建设。</w:t>
      </w:r>
      <w:r>
        <w:rPr>
          <w:rFonts w:hint="eastAsia" w:ascii="仿宋_GB2312" w:eastAsia="仿宋_GB2312"/>
          <w:sz w:val="32"/>
          <w:szCs w:val="32"/>
        </w:rPr>
        <w:cr/>
      </w:r>
      <w:r>
        <w:rPr>
          <w:rFonts w:hint="eastAsia" w:ascii="仿宋_GB2312" w:eastAsia="仿宋_GB2312"/>
          <w:sz w:val="32"/>
          <w:szCs w:val="32"/>
          <w:lang w:val="en-US" w:eastAsia="zh-CN"/>
        </w:rPr>
        <w:t xml:space="preserve">    </w:t>
      </w:r>
      <w:r>
        <w:rPr>
          <w:rFonts w:hint="eastAsia" w:ascii="仿宋_GB2312" w:eastAsia="仿宋_GB2312"/>
          <w:b/>
          <w:bCs/>
          <w:sz w:val="32"/>
          <w:szCs w:val="32"/>
        </w:rPr>
        <w:t>二是</w:t>
      </w:r>
      <w:r>
        <w:rPr>
          <w:rFonts w:hint="eastAsia" w:ascii="仿宋_GB2312" w:eastAsia="仿宋_GB2312"/>
          <w:sz w:val="32"/>
          <w:szCs w:val="32"/>
        </w:rPr>
        <w:t>认真贯彻党的教育方针，把社会主义核心价值观融入教育全过程。以“一起扎根一起长”为核心表达，创新以“生命有根 生长无界”为办学理念，以习养为根，以品行为根，以文化为根，打破校园与世界、学科与学科、知识与生活的边界，进入“无界”时代，以品从善、行向宽为育人目标，重视对学生的品德教育，包括理想信念教育、社会主义核心价值观教育、中华优秀传统文化教育、生态文明教育与心理健康教育等，同时，以课程育人、文化育人、活动育人、实践育人、管理育人、协同育人为抓手，培育学生健康的人格、美好的心灵，让学生拥有终身学习和成长所需的人生态度，将立德树人落到实处。</w:t>
      </w:r>
    </w:p>
    <w:p>
      <w:pPr>
        <w:ind w:firstLine="642" w:firstLineChars="200"/>
        <w:rPr>
          <w:rFonts w:ascii="仿宋_GB2312" w:eastAsia="仿宋_GB2312"/>
          <w:sz w:val="32"/>
          <w:szCs w:val="32"/>
        </w:rPr>
      </w:pPr>
      <w:r>
        <w:rPr>
          <w:rFonts w:hint="eastAsia" w:ascii="仿宋_GB2312" w:eastAsia="仿宋_GB2312"/>
          <w:b/>
          <w:bCs/>
          <w:sz w:val="32"/>
          <w:szCs w:val="32"/>
        </w:rPr>
        <w:t>三是</w:t>
      </w:r>
      <w:r>
        <w:rPr>
          <w:rFonts w:hint="eastAsia" w:ascii="仿宋_GB2312" w:eastAsia="仿宋_GB2312"/>
          <w:sz w:val="32"/>
          <w:szCs w:val="32"/>
        </w:rPr>
        <w:t>以提高学校的教育教学质量为目的，加强教师业务素质培训，努力提高教师教育教学水平，加大常规教学管理力度，全面提高教学质量，实现师生共同成长。</w:t>
      </w:r>
    </w:p>
    <w:p>
      <w:pPr>
        <w:ind w:firstLine="642" w:firstLineChars="200"/>
        <w:rPr>
          <w:rFonts w:ascii="仿宋_GB2312" w:eastAsia="仿宋_GB2312"/>
          <w:sz w:val="32"/>
          <w:szCs w:val="32"/>
        </w:rPr>
      </w:pPr>
      <w:r>
        <w:rPr>
          <w:rFonts w:hint="eastAsia" w:ascii="仿宋_GB2312" w:eastAsia="仿宋_GB2312"/>
          <w:b/>
          <w:bCs/>
          <w:sz w:val="32"/>
          <w:szCs w:val="32"/>
        </w:rPr>
        <w:t>四是</w:t>
      </w:r>
      <w:r>
        <w:rPr>
          <w:rFonts w:hint="eastAsia" w:ascii="仿宋_GB2312" w:eastAsia="仿宋_GB2312"/>
          <w:sz w:val="32"/>
          <w:szCs w:val="32"/>
        </w:rPr>
        <w:t>落实学校科研工作计划，扎扎实实地推进和开展科研工作，落实“科研强校，科研兴教”的工作理念。</w:t>
      </w:r>
    </w:p>
    <w:p>
      <w:pPr>
        <w:ind w:firstLine="642" w:firstLineChars="200"/>
        <w:rPr>
          <w:rFonts w:ascii="仿宋_GB2312" w:eastAsia="仿宋_GB2312"/>
          <w:sz w:val="32"/>
          <w:szCs w:val="32"/>
        </w:rPr>
      </w:pPr>
      <w:r>
        <w:rPr>
          <w:rFonts w:hint="eastAsia" w:ascii="仿宋_GB2312" w:eastAsia="仿宋_GB2312"/>
          <w:b/>
          <w:bCs/>
          <w:sz w:val="32"/>
          <w:szCs w:val="32"/>
        </w:rPr>
        <w:t>五是</w:t>
      </w:r>
      <w:r>
        <w:rPr>
          <w:rFonts w:hint="eastAsia" w:ascii="仿宋_GB2312" w:eastAsia="仿宋_GB2312"/>
          <w:sz w:val="32"/>
          <w:szCs w:val="32"/>
        </w:rPr>
        <w:t>在做好疫情防控工作的同时，其他安全工作也常抓不懈，形成了全员参与、群防群治、齐抓共管的学校安全工作格局。贯彻执行《食品卫生法》和有关的管理规定，严把食品原材料进货渠道，严格进行食堂管理，以保证师生饮食的卫生安全。</w:t>
      </w:r>
    </w:p>
    <w:p>
      <w:pPr>
        <w:ind w:firstLine="420"/>
        <w:rPr>
          <w:rFonts w:ascii="楷体" w:hAnsi="楷体" w:eastAsia="楷体"/>
          <w:b/>
          <w:sz w:val="32"/>
          <w:szCs w:val="32"/>
        </w:rPr>
      </w:pPr>
      <w:r>
        <w:rPr>
          <w:rFonts w:hint="eastAsia" w:ascii="楷体" w:hAnsi="楷体" w:eastAsia="楷体"/>
          <w:b/>
          <w:sz w:val="32"/>
          <w:szCs w:val="32"/>
        </w:rPr>
        <w:t>（三）2020年部门预算编制情况。</w:t>
      </w:r>
    </w:p>
    <w:p>
      <w:pPr>
        <w:ind w:firstLine="642" w:firstLineChars="200"/>
        <w:rPr>
          <w:rFonts w:ascii="仿宋_GB2312" w:hAnsi="仿宋_GB2312" w:eastAsia="仿宋_GB2312" w:cs="仿宋_GB2312"/>
          <w:sz w:val="32"/>
          <w:szCs w:val="32"/>
        </w:rPr>
      </w:pPr>
      <w:r>
        <w:rPr>
          <w:rFonts w:hint="eastAsia" w:ascii="仿宋_GB2312" w:hAnsi="黑体" w:eastAsia="仿宋_GB2312"/>
          <w:b/>
          <w:sz w:val="32"/>
          <w:szCs w:val="32"/>
        </w:rPr>
        <w:t>1.部门预算编制合理规范。</w:t>
      </w:r>
      <w:r>
        <w:rPr>
          <w:rFonts w:hint="eastAsia" w:ascii="仿宋_GB2312" w:hAnsi="仿宋_GB2312" w:eastAsia="仿宋_GB2312" w:cs="仿宋_GB2312"/>
          <w:sz w:val="32"/>
          <w:szCs w:val="32"/>
        </w:rPr>
        <w:t>我校按照</w:t>
      </w:r>
      <w:r>
        <w:rPr>
          <w:rFonts w:hint="eastAsia" w:ascii="仿宋_GB2312" w:hAnsi="黑体" w:eastAsia="仿宋_GB2312"/>
          <w:sz w:val="32"/>
          <w:szCs w:val="32"/>
        </w:rPr>
        <w:t>新区发展和财政局、新区教育和卫生健康局有关预算编制管理规定的要求</w:t>
      </w:r>
      <w:r>
        <w:rPr>
          <w:rFonts w:hint="eastAsia" w:ascii="仿宋_GB2312" w:hAnsi="仿宋_GB2312" w:eastAsia="仿宋_GB2312" w:cs="仿宋_GB2312"/>
          <w:sz w:val="32"/>
          <w:szCs w:val="32"/>
        </w:rPr>
        <w:t>，结合往年预算编制、预算执行与决算情况，科学化、精细化进行预算编制工作，根据本部门职责要求和上级工作部署，保障部门履行职责和日常工作，以及年度重点工作任务，结合部门实际情况编制2020年部门预算。同时，把握部门工作关键节点，在编细、编实2020年部门预算上下了更大功夫，</w:t>
      </w:r>
      <w:r>
        <w:rPr>
          <w:rFonts w:hint="eastAsia" w:ascii="仿宋_GB2312" w:hAnsi="黑体" w:eastAsia="仿宋_GB2312"/>
          <w:sz w:val="32"/>
          <w:szCs w:val="32"/>
        </w:rPr>
        <w:t>在不同项目、不同用途之间分配合理，部门预算分配不固化，能根据实际情况在同一项目内合理调整</w:t>
      </w:r>
      <w:r>
        <w:rPr>
          <w:rFonts w:hint="eastAsia" w:ascii="仿宋_GB2312" w:hAnsi="仿宋_GB2312" w:eastAsia="仿宋_GB2312" w:cs="仿宋_GB2312"/>
          <w:sz w:val="32"/>
          <w:szCs w:val="32"/>
        </w:rPr>
        <w:t>。同时，2020年部门预算编制立足于长远发展，同步做好2020-2022年中期财政规划编制工作，关注长远经济、社会、生态和可持续发展效益。在预算编制过程中切实做到程序规范、方法科学、编制及时、内容完整、项目细化、数据准确。符合本部门职责、学校工作要求以及工作任务需求等。</w:t>
      </w:r>
    </w:p>
    <w:p>
      <w:pPr>
        <w:widowControl/>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2020年年初预算收入情况。我校2020年年初预算收入2899.62万元，比2019年年初预算收入2777.5万元增加122.12万元，其资金性质均为一般公共预算财政拨款收入。</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2020年年初预算支出情况。我校2020年年初预算总支出为2899.62万元，比2019年年初预算支出2777.5万元增加122.12万元。按支出功能分类划分：教育支出2289.64万元、社会保障和就业支出166.13万元、卫生健康支出19.07万元和住房保障支出424.78万元。按支出性质分类：基本支出1538.41万元（其中：人员经费1400.08万</w:t>
      </w:r>
      <w:r>
        <w:rPr>
          <w:rFonts w:hint="default" w:ascii="仿宋_GB2312" w:hAnsi="仿宋_GB2312" w:eastAsia="仿宋_GB2312" w:cs="仿宋_GB2312"/>
          <w:sz w:val="32"/>
          <w:szCs w:val="32"/>
        </w:rPr>
        <w:t>元</w:t>
      </w:r>
      <w:r>
        <w:rPr>
          <w:rFonts w:hint="eastAsia" w:ascii="仿宋_GB2312" w:hAnsi="仿宋_GB2312" w:eastAsia="仿宋_GB2312" w:cs="仿宋_GB2312"/>
          <w:sz w:val="32"/>
          <w:szCs w:val="32"/>
        </w:rPr>
        <w:t>和公用经费138.33万元），项目支出1361.21万元。</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2020年我中心严格按照《中华人民共和国预算法》、我部门的职能和主要工作任务编制2020年部门预算，并将相关数据上报主管单位（</w:t>
      </w:r>
      <w:r>
        <w:rPr>
          <w:rFonts w:hint="eastAsia" w:ascii="仿宋_GB2312" w:hAnsi="黑体" w:eastAsia="仿宋_GB2312"/>
          <w:sz w:val="32"/>
          <w:szCs w:val="32"/>
        </w:rPr>
        <w:t>新区教育和卫生健康局</w:t>
      </w:r>
      <w:r>
        <w:rPr>
          <w:rFonts w:hint="eastAsia" w:ascii="仿宋_GB2312" w:hAnsi="仿宋_GB2312" w:eastAsia="仿宋_GB2312" w:cs="仿宋_GB2312"/>
          <w:sz w:val="32"/>
          <w:szCs w:val="32"/>
        </w:rPr>
        <w:t>）进行审核汇总，由新区发展和财政局审核，最终获得财政正式批复并进行部门预算公开。</w:t>
      </w:r>
    </w:p>
    <w:p>
      <w:pPr>
        <w:ind w:firstLine="803" w:firstLineChars="250"/>
        <w:rPr>
          <w:rFonts w:ascii="仿宋_GB2312" w:hAnsi="黑体" w:eastAsia="仿宋_GB2312"/>
          <w:sz w:val="32"/>
          <w:szCs w:val="32"/>
        </w:rPr>
      </w:pPr>
      <w:r>
        <w:rPr>
          <w:rFonts w:hint="eastAsia" w:ascii="仿宋_GB2312" w:hAnsi="黑体" w:eastAsia="仿宋_GB2312"/>
          <w:b/>
          <w:sz w:val="32"/>
          <w:szCs w:val="32"/>
        </w:rPr>
        <w:t>2.绩效目标设置完整明确。</w:t>
      </w:r>
      <w:r>
        <w:rPr>
          <w:rFonts w:hint="eastAsia" w:ascii="仿宋_GB2312" w:hAnsi="黑体" w:eastAsia="仿宋_GB2312"/>
          <w:sz w:val="32"/>
          <w:szCs w:val="32"/>
        </w:rPr>
        <w:t>根据新区发展和财政局、</w:t>
      </w:r>
      <w:r>
        <w:rPr>
          <w:rFonts w:hint="eastAsia" w:ascii="仿宋_GB2312" w:hAnsi="黑体" w:eastAsia="仿宋_GB2312"/>
          <w:sz w:val="32"/>
          <w:szCs w:val="32"/>
          <w:lang w:eastAsia="zh-CN"/>
        </w:rPr>
        <w:t>新区教育</w:t>
      </w:r>
      <w:r>
        <w:rPr>
          <w:rFonts w:hint="eastAsia" w:ascii="仿宋_GB2312" w:hAnsi="黑体" w:eastAsia="仿宋_GB2312"/>
          <w:sz w:val="32"/>
          <w:szCs w:val="32"/>
        </w:rPr>
        <w:t>和卫生</w:t>
      </w:r>
      <w:r>
        <w:rPr>
          <w:rFonts w:hint="eastAsia" w:ascii="仿宋_GB2312" w:hAnsi="黑体" w:eastAsia="仿宋_GB2312"/>
          <w:sz w:val="32"/>
          <w:szCs w:val="32"/>
          <w:lang w:val="en-US" w:eastAsia="zh-CN"/>
        </w:rPr>
        <w:t>健康</w:t>
      </w:r>
      <w:r>
        <w:rPr>
          <w:rFonts w:hint="eastAsia" w:ascii="仿宋_GB2312" w:hAnsi="黑体" w:eastAsia="仿宋_GB2312"/>
          <w:sz w:val="32"/>
          <w:szCs w:val="32"/>
        </w:rPr>
        <w:t>局2020年预算绩效管理工作安排，我校将所有项目支出纳入部门预算绩效管理并编制预算绩效目标，项目在所属部门申报预算建议数时，同时填报《项目支出绩效目标申报表》，且分别从项目设立依据、项目申报必要性、项目申报可行性三个方面阐述项目立项情况，并明确了项目的年度目标和中长期目标。</w:t>
      </w:r>
    </w:p>
    <w:p>
      <w:pPr>
        <w:ind w:firstLine="640" w:firstLineChars="200"/>
        <w:rPr>
          <w:rFonts w:ascii="仿宋_GB2312" w:hAnsi="黑体" w:eastAsia="仿宋_GB2312"/>
          <w:sz w:val="32"/>
          <w:szCs w:val="32"/>
        </w:rPr>
      </w:pPr>
      <w:r>
        <w:rPr>
          <w:rFonts w:hint="eastAsia" w:ascii="仿宋_GB2312" w:hAnsi="黑体" w:eastAsia="仿宋_GB2312"/>
          <w:sz w:val="32"/>
          <w:szCs w:val="32"/>
        </w:rPr>
        <w:t>同时，按照</w:t>
      </w:r>
      <w:r>
        <w:rPr>
          <w:rFonts w:hint="eastAsia" w:ascii="仿宋_GB2312" w:hAnsi="黑体" w:eastAsia="仿宋_GB2312"/>
          <w:sz w:val="32"/>
          <w:szCs w:val="32"/>
          <w:lang w:val="en-US" w:eastAsia="zh-Hans"/>
        </w:rPr>
        <w:t>新区发展和财政局</w:t>
      </w:r>
      <w:r>
        <w:rPr>
          <w:rFonts w:hint="eastAsia" w:ascii="仿宋_GB2312" w:hAnsi="黑体" w:eastAsia="仿宋_GB2312"/>
          <w:sz w:val="32"/>
          <w:szCs w:val="32"/>
        </w:rPr>
        <w:t>和上级部门对预算绩效管理工作要求，我校在开展2020年绩效自评工作前，将所有部门预算项目补充完善绩效目标设置，分别从产出目标和效益目标两方面设置了三级指标，根据工作计划、行业标准、历史标准等定性定量明确了指标目标值，实现绩效目标全覆盖，同时根据部门职责，合理设置部门整体个性化绩效指标。绩效目标设置完整、明确，符合我校履职要求，能够体现我校履职效果，绩效目标的目标值测算符合客观实际情况。</w:t>
      </w:r>
    </w:p>
    <w:p>
      <w:pPr>
        <w:ind w:firstLine="420"/>
        <w:rPr>
          <w:rFonts w:ascii="楷体" w:hAnsi="楷体" w:eastAsia="楷体"/>
          <w:b/>
          <w:sz w:val="32"/>
          <w:szCs w:val="32"/>
        </w:rPr>
      </w:pPr>
      <w:r>
        <w:rPr>
          <w:rFonts w:hint="eastAsia" w:ascii="楷体" w:hAnsi="楷体" w:eastAsia="楷体"/>
          <w:b/>
          <w:sz w:val="32"/>
          <w:szCs w:val="32"/>
        </w:rPr>
        <w:t>（四）2020年部门预算执行情况。</w:t>
      </w:r>
    </w:p>
    <w:p>
      <w:pPr>
        <w:ind w:firstLine="642" w:firstLineChars="200"/>
        <w:rPr>
          <w:rFonts w:ascii="仿宋_GB2312" w:eastAsia="仿宋_GB2312"/>
          <w:b/>
          <w:bCs/>
          <w:color w:val="000000"/>
          <w:kern w:val="0"/>
          <w:sz w:val="32"/>
          <w:szCs w:val="32"/>
        </w:rPr>
      </w:pPr>
      <w:r>
        <w:rPr>
          <w:rFonts w:ascii="仿宋_GB2312" w:eastAsia="仿宋_GB2312"/>
          <w:b/>
          <w:bCs/>
          <w:color w:val="000000"/>
          <w:kern w:val="0"/>
          <w:sz w:val="32"/>
          <w:szCs w:val="32"/>
        </w:rPr>
        <w:t>1.</w:t>
      </w:r>
      <w:r>
        <w:rPr>
          <w:rFonts w:hint="eastAsia" w:ascii="仿宋_GB2312" w:eastAsia="仿宋_GB2312"/>
          <w:b/>
          <w:bCs/>
          <w:color w:val="000000"/>
          <w:kern w:val="0"/>
          <w:sz w:val="32"/>
          <w:szCs w:val="32"/>
        </w:rPr>
        <w:t>资金管理</w:t>
      </w:r>
    </w:p>
    <w:p>
      <w:pPr>
        <w:ind w:firstLine="642" w:firstLineChars="200"/>
        <w:rPr>
          <w:rFonts w:ascii="仿宋_GB2312" w:eastAsia="仿宋_GB2312"/>
          <w:b/>
          <w:bCs/>
          <w:color w:val="000000"/>
          <w:kern w:val="0"/>
          <w:sz w:val="32"/>
          <w:szCs w:val="32"/>
        </w:rPr>
      </w:pPr>
      <w:r>
        <w:rPr>
          <w:rFonts w:hint="eastAsia" w:ascii="仿宋_GB2312" w:eastAsia="仿宋_GB2312"/>
          <w:b/>
          <w:bCs/>
          <w:color w:val="000000"/>
          <w:kern w:val="0"/>
          <w:sz w:val="32"/>
          <w:szCs w:val="32"/>
        </w:rPr>
        <w:t>（</w:t>
      </w:r>
      <w:r>
        <w:rPr>
          <w:rFonts w:ascii="仿宋_GB2312" w:eastAsia="仿宋_GB2312"/>
          <w:b/>
          <w:bCs/>
          <w:color w:val="000000"/>
          <w:kern w:val="0"/>
          <w:sz w:val="32"/>
          <w:szCs w:val="32"/>
        </w:rPr>
        <w:t>1</w:t>
      </w:r>
      <w:r>
        <w:rPr>
          <w:rFonts w:hint="eastAsia" w:ascii="仿宋_GB2312" w:eastAsia="仿宋_GB2312"/>
          <w:b/>
          <w:bCs/>
          <w:color w:val="000000"/>
          <w:kern w:val="0"/>
          <w:sz w:val="32"/>
          <w:szCs w:val="32"/>
        </w:rPr>
        <w:t>）资金预算、支出及结余结转情况</w:t>
      </w:r>
    </w:p>
    <w:p>
      <w:pPr>
        <w:ind w:firstLine="640" w:firstLineChars="200"/>
        <w:rPr>
          <w:rFonts w:ascii="仿宋_GB2312" w:eastAsia="仿宋_GB2312"/>
          <w:color w:val="000000"/>
          <w:kern w:val="0"/>
          <w:sz w:val="32"/>
          <w:szCs w:val="32"/>
        </w:rPr>
      </w:pPr>
      <w:bookmarkStart w:id="0" w:name="_Hlk50046743"/>
      <w:r>
        <w:rPr>
          <w:rFonts w:ascii="仿宋_GB2312" w:eastAsia="仿宋_GB2312"/>
          <w:color w:val="000000"/>
          <w:kern w:val="0"/>
          <w:sz w:val="32"/>
          <w:szCs w:val="32"/>
        </w:rPr>
        <w:t>2020</w:t>
      </w:r>
      <w:r>
        <w:rPr>
          <w:rFonts w:hint="eastAsia" w:ascii="仿宋_GB2312" w:eastAsia="仿宋_GB2312"/>
          <w:color w:val="000000"/>
          <w:kern w:val="0"/>
          <w:sz w:val="32"/>
          <w:szCs w:val="32"/>
        </w:rPr>
        <w:t>年我校年初预算收入总额为</w:t>
      </w:r>
      <w:r>
        <w:rPr>
          <w:rFonts w:ascii="仿宋_GB2312" w:eastAsia="仿宋_GB2312"/>
          <w:color w:val="000000"/>
          <w:kern w:val="0"/>
          <w:sz w:val="32"/>
          <w:szCs w:val="32"/>
        </w:rPr>
        <w:t>2899</w:t>
      </w:r>
      <w:r>
        <w:rPr>
          <w:rFonts w:hint="eastAsia" w:ascii="仿宋_GB2312" w:eastAsia="仿宋_GB2312"/>
          <w:color w:val="000000"/>
          <w:kern w:val="0"/>
          <w:sz w:val="32"/>
          <w:szCs w:val="32"/>
        </w:rPr>
        <w:t>.6</w:t>
      </w:r>
      <w:r>
        <w:rPr>
          <w:rFonts w:ascii="仿宋_GB2312" w:eastAsia="仿宋_GB2312"/>
          <w:color w:val="000000"/>
          <w:kern w:val="0"/>
          <w:sz w:val="32"/>
          <w:szCs w:val="32"/>
        </w:rPr>
        <w:t>2</w:t>
      </w:r>
      <w:r>
        <w:rPr>
          <w:rFonts w:hint="eastAsia" w:ascii="仿宋_GB2312" w:eastAsia="仿宋_GB2312"/>
          <w:color w:val="000000"/>
          <w:kern w:val="0"/>
          <w:sz w:val="32"/>
          <w:szCs w:val="32"/>
        </w:rPr>
        <w:t>万元，年中调整预算总额为</w:t>
      </w:r>
      <w:r>
        <w:rPr>
          <w:rFonts w:ascii="仿宋_GB2312" w:eastAsia="仿宋_GB2312"/>
          <w:color w:val="000000"/>
          <w:kern w:val="0"/>
          <w:sz w:val="32"/>
          <w:szCs w:val="32"/>
        </w:rPr>
        <w:t>3106.94</w:t>
      </w:r>
      <w:r>
        <w:rPr>
          <w:rFonts w:hint="eastAsia" w:ascii="仿宋_GB2312" w:eastAsia="仿宋_GB2312"/>
          <w:color w:val="000000"/>
          <w:kern w:val="0"/>
          <w:sz w:val="32"/>
          <w:szCs w:val="32"/>
        </w:rPr>
        <w:t>万元，其中一般公共预算财政拨款收入</w:t>
      </w:r>
      <w:r>
        <w:rPr>
          <w:rFonts w:ascii="仿宋_GB2312" w:eastAsia="仿宋_GB2312"/>
          <w:color w:val="000000"/>
          <w:kern w:val="0"/>
          <w:sz w:val="32"/>
          <w:szCs w:val="32"/>
        </w:rPr>
        <w:t>3104.37</w:t>
      </w:r>
      <w:r>
        <w:rPr>
          <w:rFonts w:hint="eastAsia" w:ascii="仿宋_GB2312" w:eastAsia="仿宋_GB2312"/>
          <w:color w:val="000000"/>
          <w:kern w:val="0"/>
          <w:sz w:val="32"/>
          <w:szCs w:val="32"/>
        </w:rPr>
        <w:t>万元，其他收入</w:t>
      </w:r>
      <w:r>
        <w:rPr>
          <w:rFonts w:ascii="仿宋_GB2312" w:eastAsia="仿宋_GB2312"/>
          <w:color w:val="000000"/>
          <w:kern w:val="0"/>
          <w:sz w:val="32"/>
          <w:szCs w:val="32"/>
        </w:rPr>
        <w:t>2.57</w:t>
      </w:r>
      <w:r>
        <w:rPr>
          <w:rFonts w:hint="eastAsia" w:ascii="仿宋_GB2312" w:eastAsia="仿宋_GB2312"/>
          <w:color w:val="000000"/>
          <w:kern w:val="0"/>
          <w:sz w:val="32"/>
          <w:szCs w:val="32"/>
        </w:rPr>
        <w:t>万元。全年决算支出</w:t>
      </w:r>
      <w:r>
        <w:rPr>
          <w:rFonts w:ascii="仿宋_GB2312" w:eastAsia="仿宋_GB2312"/>
          <w:color w:val="000000"/>
          <w:kern w:val="0"/>
          <w:sz w:val="32"/>
          <w:szCs w:val="32"/>
        </w:rPr>
        <w:t>3099</w:t>
      </w:r>
      <w:r>
        <w:rPr>
          <w:rFonts w:hint="eastAsia" w:ascii="仿宋_GB2312" w:eastAsia="仿宋_GB2312"/>
          <w:color w:val="000000"/>
          <w:kern w:val="0"/>
          <w:sz w:val="32"/>
          <w:szCs w:val="32"/>
        </w:rPr>
        <w:t>.</w:t>
      </w:r>
      <w:r>
        <w:rPr>
          <w:rFonts w:ascii="仿宋_GB2312" w:eastAsia="仿宋_GB2312"/>
          <w:color w:val="000000"/>
          <w:kern w:val="0"/>
          <w:sz w:val="32"/>
          <w:szCs w:val="32"/>
        </w:rPr>
        <w:t>86</w:t>
      </w:r>
      <w:r>
        <w:rPr>
          <w:rFonts w:hint="eastAsia" w:ascii="仿宋_GB2312" w:eastAsia="仿宋_GB2312"/>
          <w:color w:val="000000"/>
          <w:kern w:val="0"/>
          <w:sz w:val="32"/>
          <w:szCs w:val="32"/>
        </w:rPr>
        <w:t>万元，其中基本支出</w:t>
      </w:r>
      <w:r>
        <w:rPr>
          <w:rFonts w:ascii="仿宋_GB2312" w:eastAsia="仿宋_GB2312"/>
          <w:color w:val="000000"/>
          <w:kern w:val="0"/>
          <w:sz w:val="32"/>
          <w:szCs w:val="32"/>
        </w:rPr>
        <w:t>1451.19</w:t>
      </w:r>
      <w:r>
        <w:rPr>
          <w:rFonts w:hint="eastAsia" w:ascii="仿宋_GB2312" w:eastAsia="仿宋_GB2312"/>
          <w:color w:val="000000"/>
          <w:kern w:val="0"/>
          <w:sz w:val="32"/>
          <w:szCs w:val="32"/>
        </w:rPr>
        <w:t>万元，项目支出</w:t>
      </w:r>
      <w:r>
        <w:rPr>
          <w:rFonts w:ascii="仿宋_GB2312" w:eastAsia="仿宋_GB2312"/>
          <w:color w:val="000000"/>
          <w:kern w:val="0"/>
          <w:sz w:val="32"/>
          <w:szCs w:val="32"/>
        </w:rPr>
        <w:t>1648.67</w:t>
      </w:r>
      <w:r>
        <w:rPr>
          <w:rFonts w:hint="eastAsia" w:ascii="仿宋_GB2312" w:eastAsia="仿宋_GB2312"/>
          <w:color w:val="000000"/>
          <w:kern w:val="0"/>
          <w:sz w:val="32"/>
          <w:szCs w:val="32"/>
        </w:rPr>
        <w:t>万元。年末结转和结余</w:t>
      </w:r>
      <w:r>
        <w:rPr>
          <w:rFonts w:ascii="仿宋_GB2312" w:eastAsia="仿宋_GB2312"/>
          <w:color w:val="000000"/>
          <w:kern w:val="0"/>
          <w:sz w:val="32"/>
          <w:szCs w:val="32"/>
        </w:rPr>
        <w:t>2.58</w:t>
      </w:r>
      <w:r>
        <w:rPr>
          <w:rFonts w:hint="eastAsia" w:ascii="仿宋_GB2312" w:eastAsia="仿宋_GB2312"/>
          <w:color w:val="000000"/>
          <w:kern w:val="0"/>
          <w:sz w:val="32"/>
          <w:szCs w:val="32"/>
        </w:rPr>
        <w:t>万元。年度预算执行率99.77%，预算资金执行情况总体良好</w:t>
      </w:r>
      <w:bookmarkEnd w:id="0"/>
      <w:r>
        <w:rPr>
          <w:rFonts w:hint="eastAsia" w:ascii="仿宋_GB2312" w:eastAsia="仿宋_GB2312"/>
          <w:color w:val="000000" w:themeColor="text1"/>
          <w:kern w:val="0"/>
          <w:sz w:val="32"/>
          <w:szCs w:val="32"/>
        </w:rPr>
        <w:t>。</w:t>
      </w:r>
    </w:p>
    <w:p>
      <w:pPr>
        <w:ind w:firstLine="642" w:firstLineChars="200"/>
        <w:rPr>
          <w:rFonts w:ascii="仿宋_GB2312" w:eastAsia="仿宋_GB2312"/>
          <w:b/>
          <w:bCs/>
          <w:color w:val="000000"/>
          <w:kern w:val="0"/>
          <w:sz w:val="32"/>
          <w:szCs w:val="32"/>
        </w:rPr>
      </w:pPr>
      <w:r>
        <w:rPr>
          <w:rFonts w:hint="eastAsia" w:ascii="仿宋_GB2312" w:eastAsia="仿宋_GB2312"/>
          <w:b/>
          <w:bCs/>
          <w:color w:val="000000"/>
          <w:kern w:val="0"/>
          <w:sz w:val="32"/>
          <w:szCs w:val="32"/>
        </w:rPr>
        <w:t>（</w:t>
      </w:r>
      <w:r>
        <w:rPr>
          <w:rFonts w:ascii="仿宋_GB2312" w:eastAsia="仿宋_GB2312"/>
          <w:b/>
          <w:bCs/>
          <w:color w:val="000000"/>
          <w:kern w:val="0"/>
          <w:sz w:val="32"/>
          <w:szCs w:val="32"/>
        </w:rPr>
        <w:t>2</w:t>
      </w:r>
      <w:r>
        <w:rPr>
          <w:rFonts w:hint="eastAsia" w:ascii="仿宋_GB2312" w:eastAsia="仿宋_GB2312"/>
          <w:b/>
          <w:bCs/>
          <w:color w:val="000000"/>
          <w:kern w:val="0"/>
          <w:sz w:val="32"/>
          <w:szCs w:val="32"/>
        </w:rPr>
        <w:t>）政府采购执行率</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我校本年度无政府采购，但我校通过相关业务学习培训，深刻理解、科学把握了政府采购制度，在今后的政府采购中，会严格按照政府集中采购目录、集中采购限额标准及政府采购预算编制的有关要求编制政府采购预算，并严格按照</w:t>
      </w:r>
      <w:r>
        <w:rPr>
          <w:rFonts w:hint="eastAsia" w:ascii="仿宋_GB2312" w:eastAsia="仿宋_GB2312"/>
          <w:color w:val="000000"/>
          <w:kern w:val="0"/>
          <w:sz w:val="32"/>
          <w:szCs w:val="32"/>
          <w:lang w:val="en-US" w:eastAsia="zh-CN"/>
        </w:rPr>
        <w:t>新区</w:t>
      </w:r>
      <w:r>
        <w:rPr>
          <w:rFonts w:hint="eastAsia" w:ascii="仿宋_GB2312" w:eastAsia="仿宋_GB2312"/>
          <w:color w:val="000000"/>
          <w:kern w:val="0"/>
          <w:sz w:val="32"/>
          <w:szCs w:val="32"/>
          <w:lang w:val="en-US" w:eastAsia="zh-Hans"/>
        </w:rPr>
        <w:t>发展和财政局</w:t>
      </w:r>
      <w:r>
        <w:rPr>
          <w:rFonts w:hint="eastAsia" w:ascii="仿宋_GB2312" w:eastAsia="仿宋_GB2312"/>
          <w:color w:val="000000"/>
          <w:kern w:val="0"/>
          <w:sz w:val="32"/>
          <w:szCs w:val="32"/>
        </w:rPr>
        <w:t>、</w:t>
      </w:r>
      <w:r>
        <w:rPr>
          <w:rFonts w:hint="eastAsia" w:ascii="仿宋_GB2312" w:eastAsia="仿宋_GB2312"/>
          <w:color w:val="000000"/>
          <w:kern w:val="0"/>
          <w:sz w:val="32"/>
          <w:szCs w:val="32"/>
          <w:lang w:eastAsia="zh-CN"/>
        </w:rPr>
        <w:t>新区教育</w:t>
      </w:r>
      <w:r>
        <w:rPr>
          <w:rFonts w:hint="eastAsia" w:ascii="仿宋_GB2312" w:eastAsia="仿宋_GB2312"/>
          <w:color w:val="000000"/>
          <w:kern w:val="0"/>
          <w:sz w:val="32"/>
          <w:szCs w:val="32"/>
        </w:rPr>
        <w:t>部门等外部规章制度及学校内部管理要求实施政府采购，提高政府采购效率，促进廉政建设。</w:t>
      </w:r>
    </w:p>
    <w:p>
      <w:pPr>
        <w:ind w:firstLine="481" w:firstLineChars="150"/>
        <w:rPr>
          <w:rFonts w:ascii="仿宋_GB2312" w:eastAsia="仿宋_GB2312"/>
          <w:b/>
          <w:bCs/>
          <w:color w:val="000000"/>
          <w:kern w:val="0"/>
          <w:sz w:val="32"/>
          <w:szCs w:val="32"/>
        </w:rPr>
      </w:pPr>
      <w:r>
        <w:rPr>
          <w:rFonts w:hint="eastAsia" w:ascii="仿宋_GB2312" w:eastAsia="仿宋_GB2312"/>
          <w:b/>
          <w:bCs/>
          <w:color w:val="000000"/>
          <w:kern w:val="0"/>
          <w:sz w:val="32"/>
          <w:szCs w:val="32"/>
        </w:rPr>
        <w:t>（</w:t>
      </w:r>
      <w:r>
        <w:rPr>
          <w:rFonts w:ascii="仿宋_GB2312" w:eastAsia="仿宋_GB2312"/>
          <w:b/>
          <w:bCs/>
          <w:color w:val="000000"/>
          <w:kern w:val="0"/>
          <w:sz w:val="32"/>
          <w:szCs w:val="32"/>
        </w:rPr>
        <w:t>3</w:t>
      </w:r>
      <w:r>
        <w:rPr>
          <w:rFonts w:hint="eastAsia" w:ascii="仿宋_GB2312" w:eastAsia="仿宋_GB2312"/>
          <w:b/>
          <w:bCs/>
          <w:color w:val="000000"/>
          <w:kern w:val="0"/>
          <w:sz w:val="32"/>
          <w:szCs w:val="32"/>
        </w:rPr>
        <w:t>）财务合规性</w:t>
      </w:r>
    </w:p>
    <w:p>
      <w:pPr>
        <w:ind w:firstLine="640" w:firstLineChars="200"/>
        <w:rPr>
          <w:rFonts w:ascii="仿宋_GB2312" w:hAnsi="黑体" w:eastAsia="仿宋_GB2312"/>
          <w:sz w:val="32"/>
          <w:szCs w:val="32"/>
        </w:rPr>
      </w:pPr>
      <w:r>
        <w:rPr>
          <w:rFonts w:hint="eastAsia" w:ascii="仿宋_GB2312" w:eastAsia="仿宋_GB2312"/>
          <w:color w:val="000000"/>
          <w:kern w:val="0"/>
          <w:sz w:val="32"/>
          <w:szCs w:val="32"/>
        </w:rPr>
        <w:t>结合我校内部管理要求及本次绩效自评工作业务自查，我校资金支出规范，资金管理、费用标准、支付严格按照预算批复、业务需求及相关财务制度规定执行，无超范围、超标准支出，不存在截留、挤占、挪用项目资金情况。预算执行规范，按规定履行预算调整报批手续，调整、调剂资金累计占我校部门预算总规模6.67%，严格控制在10%以内。我校会计核算主要由新区</w:t>
      </w:r>
      <w:r>
        <w:rPr>
          <w:rFonts w:hint="default" w:ascii="仿宋_GB2312" w:eastAsia="仿宋_GB2312"/>
          <w:color w:val="000000"/>
          <w:kern w:val="0"/>
          <w:sz w:val="32"/>
          <w:szCs w:val="32"/>
        </w:rPr>
        <w:t>发展和财政</w:t>
      </w:r>
      <w:r>
        <w:rPr>
          <w:rFonts w:hint="eastAsia" w:ascii="仿宋_GB2312" w:eastAsia="仿宋_GB2312"/>
          <w:color w:val="000000"/>
          <w:kern w:val="0"/>
          <w:sz w:val="32"/>
          <w:szCs w:val="32"/>
        </w:rPr>
        <w:t>局国库</w:t>
      </w:r>
      <w:r>
        <w:rPr>
          <w:rFonts w:hint="eastAsia" w:ascii="仿宋_GB2312" w:eastAsia="仿宋_GB2312"/>
          <w:color w:val="000000"/>
          <w:kern w:val="0"/>
          <w:sz w:val="32"/>
          <w:szCs w:val="32"/>
          <w:lang w:val="en-US" w:eastAsia="zh-Hans"/>
        </w:rPr>
        <w:t>支付中心</w:t>
      </w:r>
      <w:r>
        <w:rPr>
          <w:rFonts w:hint="eastAsia" w:ascii="仿宋_GB2312" w:eastAsia="仿宋_GB2312"/>
          <w:color w:val="000000"/>
          <w:kern w:val="0"/>
          <w:sz w:val="32"/>
          <w:szCs w:val="32"/>
        </w:rPr>
        <w:t>代理执行，严格按照</w:t>
      </w:r>
      <w:r>
        <w:rPr>
          <w:rFonts w:hint="eastAsia" w:ascii="仿宋_GB2312" w:hAnsi="黑体" w:eastAsia="仿宋_GB2312"/>
          <w:sz w:val="32"/>
          <w:szCs w:val="32"/>
        </w:rPr>
        <w:t>《政府会计制度》《政府会计准则》及内部控</w:t>
      </w:r>
      <w:r>
        <w:rPr>
          <w:rFonts w:hint="default" w:ascii="仿宋_GB2312" w:hAnsi="黑体" w:eastAsia="仿宋_GB2312"/>
          <w:sz w:val="32"/>
          <w:szCs w:val="32"/>
        </w:rPr>
        <w:t>制</w:t>
      </w:r>
      <w:r>
        <w:rPr>
          <w:rFonts w:hint="eastAsia" w:ascii="仿宋_GB2312" w:hAnsi="黑体" w:eastAsia="仿宋_GB2312"/>
          <w:sz w:val="32"/>
          <w:szCs w:val="32"/>
        </w:rPr>
        <w:t>要求等</w:t>
      </w:r>
      <w:r>
        <w:rPr>
          <w:rFonts w:hint="eastAsia" w:ascii="仿宋_GB2312" w:eastAsia="仿宋_GB2312"/>
          <w:color w:val="000000"/>
          <w:kern w:val="0"/>
          <w:sz w:val="32"/>
          <w:szCs w:val="32"/>
        </w:rPr>
        <w:t>规范执行，</w:t>
      </w:r>
      <w:r>
        <w:rPr>
          <w:rFonts w:hint="eastAsia" w:ascii="仿宋_GB2312" w:hAnsi="黑体" w:eastAsia="仿宋_GB2312"/>
          <w:sz w:val="32"/>
          <w:szCs w:val="32"/>
        </w:rPr>
        <w:t>财务核算细化，支出按功能分类、经济分类和预算项目进行细化核算，做到数字真实，计算准确、内容完整，并积极配合财政、上级主管部门和审计部门的监督检查工作，及时上报各类财务报告资料。</w:t>
      </w:r>
    </w:p>
    <w:p>
      <w:pPr>
        <w:ind w:firstLine="642" w:firstLineChars="200"/>
        <w:rPr>
          <w:rFonts w:ascii="仿宋_GB2312" w:eastAsia="仿宋_GB2312"/>
          <w:b/>
          <w:bCs/>
          <w:color w:val="000000"/>
          <w:kern w:val="0"/>
          <w:sz w:val="32"/>
          <w:szCs w:val="32"/>
        </w:rPr>
      </w:pPr>
      <w:r>
        <w:rPr>
          <w:rFonts w:hint="eastAsia" w:ascii="仿宋_GB2312" w:eastAsia="仿宋_GB2312"/>
          <w:b/>
          <w:bCs/>
          <w:color w:val="000000"/>
          <w:kern w:val="0"/>
          <w:sz w:val="32"/>
          <w:szCs w:val="32"/>
        </w:rPr>
        <w:t>（4）预决算信息公开</w:t>
      </w:r>
    </w:p>
    <w:p>
      <w:pPr>
        <w:ind w:firstLine="640" w:firstLineChars="200"/>
        <w:rPr>
          <w:rFonts w:ascii="仿宋_GB2312" w:hAnsi="黑体" w:eastAsia="仿宋_GB2312"/>
          <w:sz w:val="32"/>
          <w:szCs w:val="32"/>
        </w:rPr>
      </w:pPr>
      <w:r>
        <w:rPr>
          <w:rFonts w:hint="eastAsia" w:ascii="仿宋_GB2312" w:hAnsi="黑体" w:eastAsia="仿宋_GB2312"/>
          <w:sz w:val="32"/>
          <w:szCs w:val="32"/>
        </w:rPr>
        <w:t>根据《深圳市教育局关于批复2020年部门预算的通知》（深龙教通〔2020〕1号）规定，</w:t>
      </w:r>
      <w:r>
        <w:rPr>
          <w:rFonts w:hint="eastAsia" w:ascii="仿宋_GB2312" w:hAnsi="黑体" w:eastAsia="仿宋_GB2312"/>
          <w:sz w:val="32"/>
          <w:szCs w:val="32"/>
          <w:lang w:eastAsia="zh-CN"/>
        </w:rPr>
        <w:t>新区教育</w:t>
      </w:r>
      <w:r>
        <w:rPr>
          <w:rFonts w:hint="eastAsia" w:ascii="仿宋_GB2312" w:hAnsi="黑体" w:eastAsia="仿宋_GB2312"/>
          <w:sz w:val="32"/>
          <w:szCs w:val="32"/>
        </w:rPr>
        <w:t>和</w:t>
      </w:r>
      <w:r>
        <w:rPr>
          <w:rFonts w:hint="eastAsia" w:ascii="仿宋_GB2312" w:hAnsi="黑体" w:eastAsia="仿宋_GB2312"/>
          <w:sz w:val="32"/>
          <w:szCs w:val="32"/>
          <w:lang w:val="en-US" w:eastAsia="zh-CN"/>
        </w:rPr>
        <w:t>卫生健康</w:t>
      </w:r>
      <w:r>
        <w:rPr>
          <w:rFonts w:hint="eastAsia" w:ascii="仿宋_GB2312" w:hAnsi="黑体" w:eastAsia="仿宋_GB2312"/>
          <w:sz w:val="32"/>
          <w:szCs w:val="32"/>
        </w:rPr>
        <w:t>局将汇总本部门及所属各单位的预算，按有关要求在“大鹏新区政府在线”门户网站进行公开。故我校预决算数据由</w:t>
      </w:r>
      <w:r>
        <w:rPr>
          <w:rFonts w:hint="eastAsia" w:ascii="仿宋_GB2312" w:hAnsi="黑体" w:eastAsia="仿宋_GB2312"/>
          <w:sz w:val="32"/>
          <w:szCs w:val="32"/>
          <w:lang w:eastAsia="zh-CN"/>
        </w:rPr>
        <w:t>新区教育</w:t>
      </w:r>
      <w:r>
        <w:rPr>
          <w:rFonts w:hint="eastAsia" w:ascii="仿宋_GB2312" w:hAnsi="黑体" w:eastAsia="仿宋_GB2312"/>
          <w:sz w:val="32"/>
          <w:szCs w:val="32"/>
        </w:rPr>
        <w:t>和</w:t>
      </w:r>
      <w:r>
        <w:rPr>
          <w:rFonts w:hint="eastAsia" w:ascii="仿宋_GB2312" w:hAnsi="黑体" w:eastAsia="仿宋_GB2312"/>
          <w:sz w:val="32"/>
          <w:szCs w:val="32"/>
          <w:lang w:val="en-US" w:eastAsia="zh-CN"/>
        </w:rPr>
        <w:t>卫生</w:t>
      </w:r>
      <w:r>
        <w:rPr>
          <w:rFonts w:hint="eastAsia" w:ascii="仿宋_GB2312" w:hAnsi="黑体" w:eastAsia="仿宋_GB2312"/>
          <w:sz w:val="32"/>
          <w:szCs w:val="32"/>
        </w:rPr>
        <w:t>健康局汇总后统一进行公开公示。</w:t>
      </w:r>
      <w:r>
        <w:rPr>
          <w:rFonts w:hint="eastAsia" w:ascii="仿宋_GB2312" w:hAnsi="黑体" w:eastAsia="仿宋_GB2312"/>
          <w:sz w:val="32"/>
          <w:szCs w:val="32"/>
          <w:lang w:eastAsia="zh-CN"/>
        </w:rPr>
        <w:t>新区教育</w:t>
      </w:r>
      <w:r>
        <w:rPr>
          <w:rFonts w:hint="eastAsia" w:ascii="仿宋_GB2312" w:hAnsi="黑体" w:eastAsia="仿宋_GB2312"/>
          <w:sz w:val="32"/>
          <w:szCs w:val="32"/>
        </w:rPr>
        <w:t>和卫生</w:t>
      </w:r>
      <w:r>
        <w:rPr>
          <w:rFonts w:hint="eastAsia" w:ascii="仿宋_GB2312" w:hAnsi="黑体" w:eastAsia="仿宋_GB2312"/>
          <w:sz w:val="32"/>
          <w:szCs w:val="32"/>
          <w:lang w:val="en-US" w:eastAsia="zh-CN"/>
        </w:rPr>
        <w:t>健康</w:t>
      </w:r>
      <w:r>
        <w:rPr>
          <w:rFonts w:hint="eastAsia" w:ascii="仿宋_GB2312" w:hAnsi="黑体" w:eastAsia="仿宋_GB2312"/>
          <w:sz w:val="32"/>
          <w:szCs w:val="32"/>
        </w:rPr>
        <w:t>局已于 2020 年 2月7 日通过深圳市大鹏新区政府</w:t>
      </w:r>
      <w:r>
        <w:rPr>
          <w:rFonts w:hint="eastAsia" w:ascii="仿宋_GB2312" w:hAnsi="黑体" w:eastAsia="仿宋_GB2312"/>
          <w:sz w:val="32"/>
          <w:szCs w:val="32"/>
          <w:lang w:val="en-US" w:eastAsia="zh-CN"/>
        </w:rPr>
        <w:t>在线</w:t>
      </w:r>
      <w:r>
        <w:rPr>
          <w:rFonts w:hint="eastAsia" w:ascii="仿宋_GB2312" w:hAnsi="黑体" w:eastAsia="仿宋_GB2312"/>
          <w:sz w:val="32"/>
          <w:szCs w:val="32"/>
        </w:rPr>
        <w:t>-“信息公开”-“区政府信息公开”-“资金信息”-“部门预决算”栏向社会公开了《</w:t>
      </w:r>
      <w:r>
        <w:rPr>
          <w:rFonts w:hint="eastAsia" w:ascii="仿宋_GB2312" w:hAnsi="黑体" w:eastAsia="仿宋_GB2312"/>
          <w:color w:val="auto"/>
          <w:sz w:val="32"/>
          <w:szCs w:val="32"/>
          <w:u w:val="none"/>
        </w:rPr>
        <w:t>深圳市大鹏新区教育和卫生健康局2020年部门预算</w:t>
      </w:r>
      <w:r>
        <w:rPr>
          <w:rFonts w:hint="eastAsia" w:ascii="仿宋_GB2312" w:hAnsi="黑体" w:eastAsia="仿宋_GB2312"/>
          <w:sz w:val="32"/>
          <w:szCs w:val="32"/>
        </w:rPr>
        <w:t>》，2020年决算情况根据上级部门相关规定进行公开公示。</w:t>
      </w:r>
    </w:p>
    <w:p>
      <w:pPr>
        <w:ind w:firstLine="803" w:firstLineChars="250"/>
        <w:rPr>
          <w:rFonts w:ascii="仿宋_GB2312" w:eastAsia="仿宋_GB2312"/>
          <w:b/>
          <w:bCs/>
          <w:color w:val="000000"/>
          <w:kern w:val="0"/>
          <w:sz w:val="32"/>
          <w:szCs w:val="32"/>
        </w:rPr>
      </w:pPr>
      <w:r>
        <w:rPr>
          <w:rFonts w:hint="eastAsia" w:ascii="仿宋_GB2312" w:eastAsia="仿宋_GB2312"/>
          <w:b/>
          <w:bCs/>
          <w:color w:val="000000"/>
          <w:kern w:val="0"/>
          <w:sz w:val="32"/>
          <w:szCs w:val="32"/>
        </w:rPr>
        <w:t>2</w:t>
      </w:r>
      <w:r>
        <w:rPr>
          <w:rFonts w:ascii="仿宋_GB2312" w:eastAsia="仿宋_GB2312"/>
          <w:b/>
          <w:bCs/>
          <w:color w:val="000000"/>
          <w:kern w:val="0"/>
          <w:sz w:val="32"/>
          <w:szCs w:val="32"/>
        </w:rPr>
        <w:t>.</w:t>
      </w:r>
      <w:r>
        <w:rPr>
          <w:rFonts w:hint="eastAsia" w:ascii="仿宋_GB2312" w:eastAsia="仿宋_GB2312"/>
          <w:b/>
          <w:bCs/>
          <w:color w:val="000000"/>
          <w:kern w:val="0"/>
          <w:sz w:val="32"/>
          <w:szCs w:val="32"/>
        </w:rPr>
        <w:t>项目管理</w:t>
      </w:r>
    </w:p>
    <w:p>
      <w:pPr>
        <w:widowControl/>
        <w:ind w:firstLine="640" w:firstLineChars="200"/>
        <w:rPr>
          <w:rFonts w:ascii="仿宋_GB2312" w:hAnsi="黑体" w:eastAsia="仿宋_GB2312"/>
          <w:sz w:val="32"/>
          <w:szCs w:val="32"/>
        </w:rPr>
      </w:pPr>
      <w:r>
        <w:rPr>
          <w:rFonts w:hint="eastAsia" w:ascii="仿宋_GB2312" w:hAnsi="黑体" w:eastAsia="仿宋_GB2312"/>
          <w:sz w:val="32"/>
          <w:szCs w:val="32"/>
        </w:rPr>
        <w:t>（1）2020年我校申报的年初预算项目主要有“综合管理事务”“预算准备金”“教育支出 ”和“财政专项资金项目”4个一级项目，包含了“教育和发展经费”“ 教育教学及科研经费”“ 设备购置及修缮经费”“校园管理经费”等11个明细项目，涉及预算金额1361.21万元，年度调整预算数1651.19万元。我单位对以上项目全部纳入预算绩效管理，设置并编报绩效目标。2020年我单位项目实际支出共计1648.67万元，我校将根据有关规定和工作安排，根据2020年编制的项目支出绩效目标，结合2020年我单位预算项目执行情况，认真收集评价基础数据和资料，对相应项目支出逐一开展支出绩效自评工作。</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2）我校项目支出预算的安排与单位履职相符合，财政资金保障充足有效。项目的设立按规定履行报批程序，申报、批复程序符合相关管理办法，项目的招投标、项目支出、调整及完成验收等规范，项目验收均按规定履行相应手续。项目资金支出监管按我单位财务管理规定在会计核算方面进行严格的审核支付管理，每月进行预算执行分析，年中执行预算绩效运行监控，对项目资金使用及绩效目标实现程度实行“双监控</w:t>
      </w:r>
      <w:r>
        <w:rPr>
          <w:rFonts w:hint="eastAsia" w:ascii="仿宋_GB2312" w:eastAsia="仿宋_GB2312"/>
          <w:color w:val="000000"/>
          <w:kern w:val="0"/>
          <w:sz w:val="32"/>
          <w:szCs w:val="32"/>
          <w:lang w:eastAsia="zh-CN"/>
        </w:rPr>
        <w:t>”</w:t>
      </w:r>
      <w:r>
        <w:rPr>
          <w:rFonts w:hint="eastAsia" w:ascii="仿宋_GB2312" w:eastAsia="仿宋_GB2312"/>
          <w:color w:val="000000"/>
          <w:kern w:val="0"/>
          <w:sz w:val="32"/>
          <w:szCs w:val="32"/>
        </w:rPr>
        <w:t>，重点关注执行进度偏慢及绩效目标偏离较大的项目，督促项目负责人采取改进措施；同时常态化对项目进行专项或抽样性检查，及时监控发现问题马上督促整改，项目支出建立了有效的预算资金管理机制且执行情况良好。</w:t>
      </w:r>
    </w:p>
    <w:p>
      <w:pPr>
        <w:ind w:firstLine="642" w:firstLineChars="200"/>
        <w:rPr>
          <w:rFonts w:ascii="仿宋_GB2312" w:eastAsia="仿宋_GB2312"/>
          <w:b/>
          <w:bCs/>
          <w:color w:val="000000"/>
          <w:kern w:val="0"/>
          <w:sz w:val="32"/>
          <w:szCs w:val="32"/>
        </w:rPr>
      </w:pPr>
      <w:r>
        <w:rPr>
          <w:rFonts w:hint="eastAsia" w:ascii="仿宋_GB2312" w:eastAsia="仿宋_GB2312"/>
          <w:b/>
          <w:bCs/>
          <w:color w:val="000000"/>
          <w:kern w:val="0"/>
          <w:sz w:val="32"/>
          <w:szCs w:val="32"/>
        </w:rPr>
        <w:t>3</w:t>
      </w:r>
      <w:r>
        <w:rPr>
          <w:rFonts w:ascii="仿宋_GB2312" w:eastAsia="仿宋_GB2312"/>
          <w:b/>
          <w:bCs/>
          <w:color w:val="000000"/>
          <w:kern w:val="0"/>
          <w:sz w:val="32"/>
          <w:szCs w:val="32"/>
        </w:rPr>
        <w:t>.</w:t>
      </w:r>
      <w:r>
        <w:rPr>
          <w:rFonts w:hint="eastAsia" w:ascii="仿宋_GB2312" w:eastAsia="仿宋_GB2312"/>
          <w:b/>
          <w:bCs/>
          <w:color w:val="000000"/>
          <w:kern w:val="0"/>
          <w:sz w:val="32"/>
          <w:szCs w:val="32"/>
        </w:rPr>
        <w:t>资产管理</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我校截至2020年12月31日资产金额总计</w:t>
      </w:r>
      <w:r>
        <w:rPr>
          <w:rFonts w:ascii="仿宋_GB2312" w:eastAsia="仿宋_GB2312"/>
          <w:color w:val="000000"/>
          <w:kern w:val="0"/>
          <w:sz w:val="32"/>
          <w:szCs w:val="32"/>
        </w:rPr>
        <w:t>2341.39</w:t>
      </w:r>
      <w:r>
        <w:rPr>
          <w:rFonts w:hint="eastAsia" w:ascii="仿宋_GB2312" w:eastAsia="仿宋_GB2312"/>
          <w:color w:val="000000"/>
          <w:kern w:val="0"/>
          <w:sz w:val="32"/>
          <w:szCs w:val="32"/>
        </w:rPr>
        <w:t>万元，其中流动资产</w:t>
      </w:r>
      <w:r>
        <w:rPr>
          <w:rFonts w:ascii="仿宋_GB2312" w:eastAsia="仿宋_GB2312"/>
          <w:color w:val="000000"/>
          <w:kern w:val="0"/>
          <w:sz w:val="32"/>
          <w:szCs w:val="32"/>
        </w:rPr>
        <w:t>56.05</w:t>
      </w:r>
      <w:r>
        <w:rPr>
          <w:rFonts w:hint="eastAsia" w:ascii="仿宋_GB2312" w:eastAsia="仿宋_GB2312"/>
          <w:color w:val="000000"/>
          <w:kern w:val="0"/>
          <w:sz w:val="32"/>
          <w:szCs w:val="32"/>
        </w:rPr>
        <w:t>万元，非流动资产</w:t>
      </w:r>
      <w:r>
        <w:rPr>
          <w:rFonts w:ascii="仿宋_GB2312" w:eastAsia="仿宋_GB2312"/>
          <w:color w:val="000000"/>
          <w:kern w:val="0"/>
          <w:sz w:val="32"/>
          <w:szCs w:val="32"/>
        </w:rPr>
        <w:t>2285.34</w:t>
      </w:r>
      <w:r>
        <w:rPr>
          <w:rFonts w:hint="eastAsia" w:ascii="仿宋_GB2312" w:eastAsia="仿宋_GB2312"/>
          <w:color w:val="000000"/>
          <w:kern w:val="0"/>
          <w:sz w:val="32"/>
          <w:szCs w:val="32"/>
        </w:rPr>
        <w:t>万元。</w:t>
      </w:r>
    </w:p>
    <w:p>
      <w:pPr>
        <w:ind w:firstLine="640" w:firstLineChars="200"/>
        <w:rPr>
          <w:rFonts w:ascii="华文仿宋" w:hAnsi="华文仿宋" w:eastAsia="华文仿宋" w:cs="华文仿宋"/>
          <w:kern w:val="0"/>
          <w:sz w:val="32"/>
          <w:szCs w:val="32"/>
        </w:rPr>
      </w:pPr>
      <w:r>
        <w:rPr>
          <w:rFonts w:hint="eastAsia" w:ascii="仿宋_GB2312" w:eastAsia="仿宋_GB2312"/>
          <w:color w:val="000000"/>
          <w:kern w:val="0"/>
          <w:sz w:val="32"/>
          <w:szCs w:val="32"/>
        </w:rPr>
        <w:t>为切实加强学校资产管理，提高学校资产的使用效率，我校针对资产管理中存在的一些不容忽视的问题，采取了一系列改进措施。一是健全落实固定资产管理制度，如加强固定资产验收保管制度，所有资产采购都由资产管理员、采购人、保管人和使用人公共验收，明确各自的责任，严把资产质量关；建立固定资产请购制度，资产采购必须以经</w:t>
      </w:r>
      <w:r>
        <w:rPr>
          <w:rFonts w:hint="eastAsia" w:ascii="仿宋_GB2312" w:eastAsia="仿宋_GB2312"/>
          <w:color w:val="000000"/>
          <w:kern w:val="0"/>
          <w:sz w:val="32"/>
          <w:szCs w:val="32"/>
          <w:lang w:val="en-US" w:eastAsia="zh-Hans"/>
        </w:rPr>
        <w:t>新区发展和财政局</w:t>
      </w:r>
      <w:r>
        <w:rPr>
          <w:rFonts w:hint="eastAsia" w:ascii="仿宋_GB2312" w:eastAsia="仿宋_GB2312"/>
          <w:color w:val="000000"/>
          <w:kern w:val="0"/>
          <w:sz w:val="32"/>
          <w:szCs w:val="32"/>
        </w:rPr>
        <w:t>批准的预算为依据，未纳入当年采购预算的，不得随意采购；严格资产清查、报损制度，固定资产的处理、报损严格按规定程序进行审批。二是开展定期和不定期资产清查、核对工作，我校财务部门（或资产管理部门）的资产账与核算中心的财务账每月核对一次，学校资产账与实物每年清查盘点一次，全面摸清我校的财产家底及结构状况，做到账账、账实、账证相符，有力的保障国有资产的价值和安全。三是加强固定资产管理的信息化水平，实现资产的电子化、数字化、网络化管理和调度利用的快速运转，提高资产管理效率和水平。总的来说，我校各部门资产配置效率较高，部分部门之间共享共用闲置资产，切实盘活了存量资产，提高了资产效率，固定资产总体使用率达95%以上。</w:t>
      </w:r>
    </w:p>
    <w:p>
      <w:pPr>
        <w:ind w:firstLine="642" w:firstLineChars="200"/>
        <w:rPr>
          <w:rFonts w:ascii="仿宋_GB2312" w:eastAsia="仿宋_GB2312"/>
          <w:b/>
          <w:bCs/>
          <w:color w:val="000000"/>
          <w:kern w:val="0"/>
          <w:sz w:val="32"/>
          <w:szCs w:val="32"/>
        </w:rPr>
      </w:pPr>
      <w:r>
        <w:rPr>
          <w:rFonts w:hint="eastAsia" w:ascii="仿宋_GB2312" w:eastAsia="仿宋_GB2312"/>
          <w:b/>
          <w:bCs/>
          <w:color w:val="000000"/>
          <w:kern w:val="0"/>
          <w:sz w:val="32"/>
          <w:szCs w:val="32"/>
        </w:rPr>
        <w:t>4</w:t>
      </w:r>
      <w:r>
        <w:rPr>
          <w:rFonts w:ascii="仿宋_GB2312" w:eastAsia="仿宋_GB2312"/>
          <w:b/>
          <w:bCs/>
          <w:color w:val="000000"/>
          <w:kern w:val="0"/>
          <w:sz w:val="32"/>
          <w:szCs w:val="32"/>
        </w:rPr>
        <w:t>.</w:t>
      </w:r>
      <w:r>
        <w:rPr>
          <w:rFonts w:hint="eastAsia" w:ascii="仿宋_GB2312" w:eastAsia="仿宋_GB2312"/>
          <w:b/>
          <w:bCs/>
          <w:color w:val="000000"/>
          <w:kern w:val="0"/>
          <w:sz w:val="32"/>
          <w:szCs w:val="32"/>
        </w:rPr>
        <w:t>人员管理</w:t>
      </w:r>
    </w:p>
    <w:p>
      <w:pPr>
        <w:widowControl/>
        <w:ind w:firstLine="640" w:firstLineChars="200"/>
        <w:jc w:val="left"/>
        <w:rPr>
          <w:rFonts w:ascii="仿宋_GB2312" w:hAnsi="仿宋" w:eastAsia="仿宋_GB2312"/>
          <w:sz w:val="32"/>
          <w:szCs w:val="32"/>
        </w:rPr>
      </w:pPr>
      <w:r>
        <w:rPr>
          <w:rFonts w:hint="eastAsia" w:ascii="仿宋_GB2312" w:eastAsia="仿宋_GB2312"/>
          <w:sz w:val="32"/>
          <w:szCs w:val="32"/>
        </w:rPr>
        <w:t>截至2020年12月31日，</w:t>
      </w:r>
      <w:r>
        <w:rPr>
          <w:rFonts w:hint="eastAsia" w:ascii="仿宋_GB2312" w:hAnsi="仿宋" w:eastAsia="仿宋_GB2312"/>
          <w:sz w:val="32"/>
          <w:szCs w:val="32"/>
        </w:rPr>
        <w:t>我校年末在职人员</w:t>
      </w:r>
      <w:r>
        <w:rPr>
          <w:rFonts w:ascii="仿宋_GB2312" w:hAnsi="仿宋" w:eastAsia="仿宋_GB2312"/>
          <w:sz w:val="32"/>
          <w:szCs w:val="32"/>
        </w:rPr>
        <w:t>3</w:t>
      </w:r>
      <w:r>
        <w:rPr>
          <w:rFonts w:hint="eastAsia" w:ascii="仿宋_GB2312" w:hAnsi="仿宋" w:eastAsia="仿宋_GB2312"/>
          <w:sz w:val="32"/>
          <w:szCs w:val="32"/>
        </w:rPr>
        <w:t>1人，</w:t>
      </w:r>
      <w:r>
        <w:rPr>
          <w:rFonts w:hint="eastAsia" w:ascii="仿宋_GB2312" w:eastAsia="仿宋_GB2312"/>
          <w:sz w:val="32"/>
          <w:szCs w:val="32"/>
        </w:rPr>
        <w:t>核定事业编制总数 35 人，财政供养人员控制率88.57%。年末其他6人，编外人员控制率16.21%。</w:t>
      </w:r>
      <w:r>
        <w:rPr>
          <w:rFonts w:hint="eastAsia" w:ascii="仿宋_GB2312" w:hAnsi="仿宋" w:eastAsia="仿宋_GB2312"/>
          <w:sz w:val="32"/>
          <w:szCs w:val="32"/>
        </w:rPr>
        <w:t>在人员管理方面，我校严格按照人事制度执行，2020年度全校教职工考核均达到标准。</w:t>
      </w:r>
    </w:p>
    <w:p>
      <w:pPr>
        <w:ind w:firstLine="642" w:firstLineChars="200"/>
        <w:rPr>
          <w:rFonts w:ascii="仿宋_GB2312" w:eastAsia="仿宋_GB2312"/>
          <w:b/>
          <w:color w:val="000000"/>
          <w:kern w:val="0"/>
          <w:sz w:val="32"/>
          <w:szCs w:val="32"/>
        </w:rPr>
      </w:pPr>
      <w:r>
        <w:rPr>
          <w:rFonts w:hint="eastAsia" w:ascii="仿宋_GB2312" w:eastAsia="仿宋_GB2312"/>
          <w:b/>
          <w:color w:val="000000"/>
          <w:kern w:val="0"/>
          <w:sz w:val="32"/>
          <w:szCs w:val="32"/>
        </w:rPr>
        <w:t xml:space="preserve">5.制度管理          </w:t>
      </w:r>
    </w:p>
    <w:p>
      <w:pPr>
        <w:ind w:firstLine="640" w:firstLineChars="200"/>
        <w:rPr>
          <w:rFonts w:ascii="仿宋_GB2312" w:eastAsia="仿宋_GB2312"/>
          <w:b/>
          <w:bCs/>
          <w:color w:val="000000"/>
          <w:kern w:val="0"/>
          <w:sz w:val="32"/>
          <w:szCs w:val="32"/>
        </w:rPr>
      </w:pPr>
      <w:r>
        <w:rPr>
          <w:rFonts w:hint="eastAsia" w:ascii="仿宋_GB2312" w:eastAsia="仿宋_GB2312"/>
          <w:color w:val="000000"/>
          <w:kern w:val="0"/>
          <w:sz w:val="32"/>
          <w:szCs w:val="32"/>
        </w:rPr>
        <w:t>我校在财政资金管理、内部财务管理、预算绩效管理等方面均建立了较为完善的内部控制制度。制定了一套完善的《深圳市大鹏新区深圳中学大鹏第二小学内部控制管理制度》，从单位层面和业务层面对内控制度加以制定和完善。包括资产管理、建设项目管理、合同管理、预决算管理、支付管理制度、采购管理制度等，基本涵盖重大事项管理、预算管理、收支管理、政府采购制度、资产管理、工程项目管理、合同管理等各部门基本业务活动，部门职能履行与预算执行得以保障。</w:t>
      </w:r>
    </w:p>
    <w:p>
      <w:pPr>
        <w:ind w:firstLine="627" w:firstLineChars="196"/>
        <w:rPr>
          <w:rFonts w:ascii="黑体" w:hAnsi="黑体" w:eastAsia="黑体"/>
          <w:sz w:val="32"/>
          <w:szCs w:val="32"/>
        </w:rPr>
      </w:pPr>
      <w:r>
        <w:rPr>
          <w:rFonts w:hint="eastAsia" w:ascii="黑体" w:hAnsi="黑体" w:eastAsia="黑体"/>
          <w:sz w:val="32"/>
          <w:szCs w:val="32"/>
        </w:rPr>
        <w:t>二、部门（单位）主要履职绩效分析</w:t>
      </w:r>
    </w:p>
    <w:p>
      <w:pPr>
        <w:ind w:firstLine="642" w:firstLineChars="200"/>
        <w:rPr>
          <w:rFonts w:ascii="楷体" w:hAnsi="楷体" w:eastAsia="楷体"/>
          <w:b/>
          <w:bCs/>
          <w:sz w:val="32"/>
          <w:szCs w:val="32"/>
        </w:rPr>
      </w:pPr>
      <w:r>
        <w:rPr>
          <w:rFonts w:hint="eastAsia" w:ascii="楷体" w:hAnsi="楷体" w:eastAsia="楷体"/>
          <w:b/>
          <w:bCs/>
          <w:sz w:val="32"/>
          <w:szCs w:val="32"/>
        </w:rPr>
        <w:t>（一）主要履职目标</w:t>
      </w:r>
    </w:p>
    <w:p>
      <w:pPr>
        <w:ind w:firstLine="640" w:firstLineChars="200"/>
        <w:rPr>
          <w:rFonts w:ascii="仿宋_GB2312" w:eastAsia="仿宋_GB2312"/>
          <w:bCs/>
          <w:color w:val="000000"/>
          <w:kern w:val="0"/>
          <w:sz w:val="32"/>
          <w:szCs w:val="32"/>
        </w:rPr>
      </w:pPr>
      <w:r>
        <w:rPr>
          <w:rFonts w:hint="eastAsia" w:ascii="仿宋_GB2312" w:hAnsi="楷体_GB2312" w:eastAsia="仿宋_GB2312" w:cs="仿宋_GB2312"/>
          <w:sz w:val="32"/>
          <w:szCs w:val="32"/>
        </w:rPr>
        <w:t>2020年，我校为落实新</w:t>
      </w:r>
      <w:r>
        <w:rPr>
          <w:rFonts w:hint="eastAsia" w:ascii="仿宋_GB2312" w:eastAsia="仿宋_GB2312"/>
          <w:bCs/>
          <w:color w:val="000000"/>
          <w:kern w:val="0"/>
          <w:sz w:val="32"/>
          <w:szCs w:val="32"/>
        </w:rPr>
        <w:t>区教育和卫生</w:t>
      </w:r>
      <w:r>
        <w:rPr>
          <w:rFonts w:hint="eastAsia" w:ascii="仿宋_GB2312" w:eastAsia="仿宋_GB2312"/>
          <w:bCs/>
          <w:color w:val="000000"/>
          <w:kern w:val="0"/>
          <w:sz w:val="32"/>
          <w:szCs w:val="32"/>
          <w:lang w:val="en-US" w:eastAsia="zh-CN"/>
        </w:rPr>
        <w:t>健康</w:t>
      </w:r>
      <w:r>
        <w:rPr>
          <w:rFonts w:hint="eastAsia" w:ascii="仿宋_GB2312" w:eastAsia="仿宋_GB2312"/>
          <w:bCs/>
          <w:color w:val="000000"/>
          <w:kern w:val="0"/>
          <w:sz w:val="32"/>
          <w:szCs w:val="32"/>
        </w:rPr>
        <w:t>局年度重点工作安排，加强教育文化建设，积极推进学科建设，促进教师队伍专业化发展，进一步提升学校内涵质量和办学水平，提前做好年度教育教学规划，确定年度履职目标，以便顺利完成年度工作任务。</w:t>
      </w:r>
    </w:p>
    <w:p>
      <w:pPr>
        <w:ind w:firstLine="640" w:firstLineChars="200"/>
        <w:rPr>
          <w:rFonts w:ascii="仿宋_GB2312" w:hAnsi="楷体_GB2312" w:eastAsia="仿宋_GB2312" w:cs="仿宋_GB2312"/>
          <w:sz w:val="32"/>
          <w:szCs w:val="32"/>
        </w:rPr>
      </w:pPr>
      <w:r>
        <w:rPr>
          <w:rFonts w:hint="eastAsia" w:ascii="仿宋_GB2312" w:hAnsi="楷体_GB2312" w:eastAsia="仿宋_GB2312" w:cs="仿宋_GB2312"/>
          <w:sz w:val="32"/>
          <w:szCs w:val="32"/>
        </w:rPr>
        <w:t>1</w:t>
      </w:r>
      <w:r>
        <w:rPr>
          <w:rFonts w:ascii="仿宋_GB2312" w:hAnsi="楷体_GB2312" w:eastAsia="仿宋_GB2312" w:cs="仿宋_GB2312"/>
          <w:sz w:val="32"/>
          <w:szCs w:val="32"/>
        </w:rPr>
        <w:t>.</w:t>
      </w:r>
      <w:r>
        <w:rPr>
          <w:rFonts w:hint="eastAsia" w:ascii="仿宋_GB2312" w:hAnsi="楷体_GB2312" w:eastAsia="仿宋_GB2312" w:cs="仿宋_GB2312"/>
          <w:sz w:val="32"/>
          <w:szCs w:val="32"/>
        </w:rPr>
        <w:t>以习近平新时代中国特色社会主义思想为指导，严肃政治纪律和理论学习、认真履行管党治党责任、着力夯实基层党建基础、推进党风廉政建设和反腐败工作、大力加强廉洁自律、带领党员发挥示范作用。</w:t>
      </w:r>
    </w:p>
    <w:p>
      <w:pPr>
        <w:ind w:firstLine="640" w:firstLineChars="200"/>
        <w:rPr>
          <w:rFonts w:ascii="仿宋_GB2312" w:hAnsi="楷体_GB2312" w:eastAsia="仿宋_GB2312" w:cs="仿宋_GB2312"/>
          <w:sz w:val="32"/>
          <w:szCs w:val="32"/>
        </w:rPr>
      </w:pPr>
      <w:r>
        <w:rPr>
          <w:rFonts w:hint="eastAsia" w:ascii="仿宋_GB2312" w:hAnsi="楷体_GB2312" w:eastAsia="仿宋_GB2312" w:cs="仿宋_GB2312"/>
          <w:sz w:val="32"/>
          <w:szCs w:val="32"/>
        </w:rPr>
        <w:t>2.全方位、多渠道育人，强化养成教育</w:t>
      </w:r>
      <w:r>
        <w:rPr>
          <w:rFonts w:ascii="仿宋_GB2312" w:hAnsi="楷体_GB2312" w:eastAsia="仿宋_GB2312" w:cs="仿宋_GB2312"/>
          <w:sz w:val="32"/>
          <w:szCs w:val="32"/>
        </w:rPr>
        <w:t>,</w:t>
      </w:r>
      <w:r>
        <w:rPr>
          <w:rFonts w:hint="eastAsia" w:ascii="仿宋_GB2312" w:hAnsi="楷体_GB2312" w:eastAsia="仿宋_GB2312" w:cs="仿宋_GB2312"/>
          <w:sz w:val="32"/>
          <w:szCs w:val="32"/>
        </w:rPr>
        <w:t>进一步建立和健全了德育工作制度;加强德育骨干队伍建设，特别重视对新班主任的培训。</w:t>
      </w:r>
    </w:p>
    <w:p>
      <w:pPr>
        <w:ind w:firstLine="640" w:firstLineChars="200"/>
        <w:rPr>
          <w:rFonts w:ascii="仿宋_GB2312" w:hAnsi="楷体_GB2312" w:eastAsia="仿宋_GB2312" w:cs="仿宋_GB2312"/>
          <w:sz w:val="32"/>
          <w:szCs w:val="32"/>
        </w:rPr>
      </w:pPr>
      <w:r>
        <w:rPr>
          <w:rFonts w:hint="eastAsia" w:ascii="仿宋_GB2312" w:hAnsi="楷体_GB2312" w:eastAsia="仿宋_GB2312" w:cs="仿宋_GB2312"/>
          <w:sz w:val="32"/>
          <w:szCs w:val="32"/>
        </w:rPr>
        <w:t>3.常规教学常抓不懈，加强早读、午读和辅导巡查，积极开展各项教学交流活动，重点开展培优补差工作。</w:t>
      </w:r>
    </w:p>
    <w:p>
      <w:pPr>
        <w:ind w:firstLine="640" w:firstLineChars="200"/>
        <w:rPr>
          <w:rFonts w:ascii="仿宋_GB2312" w:hAnsi="楷体_GB2312" w:eastAsia="仿宋_GB2312" w:cs="仿宋_GB2312"/>
          <w:sz w:val="32"/>
          <w:szCs w:val="32"/>
        </w:rPr>
      </w:pPr>
      <w:r>
        <w:rPr>
          <w:rFonts w:hint="eastAsia" w:ascii="仿宋_GB2312" w:hAnsi="楷体_GB2312" w:eastAsia="仿宋_GB2312" w:cs="仿宋_GB2312"/>
          <w:sz w:val="32"/>
          <w:szCs w:val="32"/>
        </w:rPr>
        <w:t>4</w:t>
      </w:r>
      <w:r>
        <w:rPr>
          <w:rFonts w:ascii="仿宋_GB2312" w:hAnsi="楷体_GB2312" w:eastAsia="仿宋_GB2312" w:cs="仿宋_GB2312"/>
          <w:sz w:val="32"/>
          <w:szCs w:val="32"/>
        </w:rPr>
        <w:t>.</w:t>
      </w:r>
      <w:r>
        <w:rPr>
          <w:rFonts w:hint="eastAsia" w:ascii="仿宋_GB2312" w:hAnsi="楷体_GB2312" w:eastAsia="仿宋_GB2312" w:cs="仿宋_GB2312"/>
          <w:sz w:val="32"/>
          <w:szCs w:val="32"/>
        </w:rPr>
        <w:t>加强总务管理，提高总务服务，确保后勤保障及时、到位，严格食堂管理，保证师生饮食卫生安全。</w:t>
      </w:r>
    </w:p>
    <w:p>
      <w:pPr>
        <w:ind w:firstLine="640" w:firstLineChars="200"/>
        <w:rPr>
          <w:rFonts w:ascii="仿宋_GB2312" w:hAnsi="楷体_GB2312" w:eastAsia="仿宋_GB2312" w:cs="仿宋_GB2312"/>
          <w:sz w:val="32"/>
          <w:szCs w:val="32"/>
        </w:rPr>
      </w:pPr>
      <w:r>
        <w:rPr>
          <w:rFonts w:hint="eastAsia" w:ascii="仿宋_GB2312" w:hAnsi="楷体_GB2312" w:eastAsia="仿宋_GB2312" w:cs="仿宋_GB2312"/>
          <w:sz w:val="32"/>
          <w:szCs w:val="32"/>
        </w:rPr>
        <w:t>5</w:t>
      </w:r>
      <w:r>
        <w:rPr>
          <w:rFonts w:ascii="仿宋_GB2312" w:hAnsi="楷体_GB2312" w:eastAsia="仿宋_GB2312" w:cs="仿宋_GB2312"/>
          <w:sz w:val="32"/>
          <w:szCs w:val="32"/>
        </w:rPr>
        <w:t>.</w:t>
      </w:r>
      <w:r>
        <w:rPr>
          <w:rFonts w:hint="eastAsia" w:ascii="仿宋_GB2312" w:hAnsi="楷体_GB2312" w:eastAsia="仿宋_GB2312" w:cs="仿宋_GB2312"/>
          <w:sz w:val="32"/>
          <w:szCs w:val="32"/>
        </w:rPr>
        <w:t>新设科研处，扎扎实实地推进和开展科研工作，落实“科研强校，科研兴教”的工作理念。</w:t>
      </w:r>
    </w:p>
    <w:p>
      <w:pPr>
        <w:ind w:firstLine="640" w:firstLineChars="200"/>
        <w:rPr>
          <w:rFonts w:ascii="仿宋_GB2312" w:hAnsi="楷体_GB2312" w:eastAsia="仿宋_GB2312" w:cs="仿宋_GB2312"/>
          <w:sz w:val="32"/>
          <w:szCs w:val="32"/>
        </w:rPr>
      </w:pPr>
      <w:r>
        <w:rPr>
          <w:rFonts w:hint="eastAsia" w:ascii="仿宋_GB2312" w:hAnsi="楷体_GB2312" w:eastAsia="仿宋_GB2312" w:cs="仿宋_GB2312"/>
          <w:sz w:val="32"/>
          <w:szCs w:val="32"/>
        </w:rPr>
        <w:t>6</w:t>
      </w:r>
      <w:r>
        <w:rPr>
          <w:rFonts w:ascii="仿宋_GB2312" w:hAnsi="楷体_GB2312" w:eastAsia="仿宋_GB2312" w:cs="仿宋_GB2312"/>
          <w:sz w:val="32"/>
          <w:szCs w:val="32"/>
        </w:rPr>
        <w:t>.</w:t>
      </w:r>
      <w:r>
        <w:rPr>
          <w:rFonts w:hint="eastAsia" w:ascii="仿宋_GB2312" w:hAnsi="楷体_GB2312" w:eastAsia="仿宋_GB2312" w:cs="仿宋_GB2312"/>
          <w:sz w:val="32"/>
          <w:szCs w:val="32"/>
        </w:rPr>
        <w:t>继续实施“积分入学管理制度”，完成一年级招生分班工作，加强学校宣传工作，开展对口帮扶工作。</w:t>
      </w:r>
    </w:p>
    <w:p>
      <w:pPr>
        <w:ind w:firstLine="640" w:firstLineChars="200"/>
        <w:rPr>
          <w:rFonts w:ascii="仿宋_GB2312" w:hAnsi="楷体_GB2312" w:eastAsia="仿宋_GB2312" w:cs="仿宋_GB2312"/>
          <w:sz w:val="32"/>
          <w:szCs w:val="32"/>
        </w:rPr>
      </w:pPr>
      <w:r>
        <w:rPr>
          <w:rFonts w:hint="eastAsia" w:ascii="仿宋_GB2312" w:hAnsi="楷体_GB2312" w:eastAsia="仿宋_GB2312" w:cs="仿宋_GB2312"/>
          <w:sz w:val="32"/>
          <w:szCs w:val="32"/>
        </w:rPr>
        <w:t>7.做好疫情防控工作，争创无疫安全校园；经常开展安全方面的隐患排查，认真做好学校消防工作，</w:t>
      </w:r>
      <w:r>
        <w:rPr>
          <w:rFonts w:hint="eastAsia" w:ascii="仿宋_GB2312" w:hAnsi="楷体_GB2312" w:eastAsia="仿宋_GB2312" w:cs="仿宋_GB2312"/>
          <w:sz w:val="32"/>
          <w:szCs w:val="32"/>
          <w:lang w:eastAsia="zh-CN"/>
        </w:rPr>
        <w:t>防患于未然</w:t>
      </w:r>
      <w:r>
        <w:rPr>
          <w:rFonts w:hint="eastAsia" w:ascii="仿宋_GB2312" w:hAnsi="楷体_GB2312" w:eastAsia="仿宋_GB2312" w:cs="仿宋_GB2312"/>
          <w:sz w:val="32"/>
          <w:szCs w:val="32"/>
        </w:rPr>
        <w:t>。</w:t>
      </w:r>
    </w:p>
    <w:p>
      <w:pPr>
        <w:ind w:firstLine="640" w:firstLineChars="200"/>
        <w:rPr>
          <w:rFonts w:ascii="仿宋_GB2312" w:hAnsi="楷体_GB2312" w:eastAsia="仿宋_GB2312" w:cs="仿宋_GB2312"/>
          <w:sz w:val="32"/>
          <w:szCs w:val="32"/>
        </w:rPr>
      </w:pPr>
      <w:r>
        <w:rPr>
          <w:rFonts w:hint="eastAsia" w:ascii="仿宋_GB2312" w:hAnsi="楷体_GB2312" w:eastAsia="仿宋_GB2312" w:cs="仿宋_GB2312"/>
          <w:sz w:val="32"/>
          <w:szCs w:val="32"/>
        </w:rPr>
        <w:t>8.抓好少先队常规工作，深入开展丰富多彩的主题活动。</w:t>
      </w:r>
    </w:p>
    <w:p>
      <w:pPr>
        <w:ind w:firstLine="642" w:firstLineChars="200"/>
        <w:rPr>
          <w:rFonts w:ascii="楷体" w:hAnsi="楷体" w:eastAsia="楷体" w:cs="仿宋_GB2312"/>
          <w:b/>
          <w:bCs/>
          <w:sz w:val="32"/>
          <w:szCs w:val="32"/>
        </w:rPr>
      </w:pPr>
      <w:r>
        <w:rPr>
          <w:rFonts w:hint="eastAsia" w:ascii="楷体" w:hAnsi="楷体" w:eastAsia="楷体" w:cs="仿宋_GB2312"/>
          <w:b/>
          <w:bCs/>
          <w:sz w:val="32"/>
          <w:szCs w:val="32"/>
        </w:rPr>
        <w:t>（二）主要履职情况</w:t>
      </w:r>
    </w:p>
    <w:p>
      <w:pPr>
        <w:ind w:firstLine="640" w:firstLineChars="200"/>
        <w:rPr>
          <w:rFonts w:ascii="仿宋_GB2312" w:hAnsi="楷体_GB2312" w:eastAsia="仿宋_GB2312" w:cs="仿宋_GB2312"/>
          <w:sz w:val="32"/>
          <w:szCs w:val="32"/>
        </w:rPr>
      </w:pPr>
      <w:r>
        <w:rPr>
          <w:rFonts w:hint="eastAsia" w:ascii="仿宋_GB2312" w:hAnsi="楷体_GB2312" w:eastAsia="仿宋_GB2312" w:cs="仿宋_GB2312"/>
          <w:sz w:val="32"/>
          <w:szCs w:val="32"/>
        </w:rPr>
        <w:t>2020年，我校以全国、省、市教育大会精神为指针，深入贯彻深圳市委市政府发布的《关于推进教育高质量发展的意见》文件精神，紧紧围绕新区教育行政与业务部门年度工作重点，全面落实“立德树人”根本任务，进一步促进学生德智体美劳全面发展，不断推进我校整体高质量发展。同时，在新冠肺炎疫情常态化防控期间，贯彻执行上级有关文件精神，结合学校实情，坚决做到疫情防控和线上教学工作两不误。</w:t>
      </w:r>
    </w:p>
    <w:p>
      <w:pPr>
        <w:ind w:firstLine="642" w:firstLineChars="200"/>
        <w:rPr>
          <w:rFonts w:ascii="仿宋_GB2312" w:hAnsi="楷体" w:eastAsia="仿宋_GB2312"/>
          <w:b/>
          <w:sz w:val="32"/>
          <w:szCs w:val="32"/>
        </w:rPr>
      </w:pPr>
      <w:r>
        <w:rPr>
          <w:rFonts w:hint="eastAsia" w:ascii="仿宋_GB2312" w:hAnsi="楷体" w:eastAsia="仿宋_GB2312"/>
          <w:b/>
          <w:sz w:val="32"/>
          <w:szCs w:val="32"/>
        </w:rPr>
        <w:t>1.“不忘初心、牢记使命”，不断加强党员队伍和教师队伍建设，带领党员发挥示范作用。</w:t>
      </w:r>
    </w:p>
    <w:p>
      <w:pPr>
        <w:ind w:firstLine="640" w:firstLineChars="200"/>
        <w:rPr>
          <w:rFonts w:ascii="仿宋_GB2312" w:hAnsi="楷体" w:eastAsia="仿宋_GB2312"/>
          <w:sz w:val="32"/>
          <w:szCs w:val="32"/>
        </w:rPr>
      </w:pPr>
      <w:r>
        <w:rPr>
          <w:rFonts w:hint="eastAsia" w:ascii="仿宋_GB2312" w:hAnsi="楷体" w:eastAsia="仿宋_GB2312"/>
          <w:sz w:val="32"/>
          <w:szCs w:val="32"/>
        </w:rPr>
        <w:t>一是扎实组织学习习近平新时代中国特色社会主义思想、党的十九大精神，组织开展了22次党员学习；二是</w:t>
      </w:r>
      <w:r>
        <w:rPr>
          <w:rFonts w:hint="eastAsia" w:ascii="仿宋_GB2312" w:hAnsi="仿宋_GB2312" w:eastAsia="仿宋_GB2312" w:cs="仿宋_GB2312"/>
          <w:sz w:val="32"/>
          <w:szCs w:val="32"/>
        </w:rPr>
        <w:t>用</w:t>
      </w:r>
      <w:r>
        <w:rPr>
          <w:rFonts w:hint="eastAsia" w:ascii="仿宋_GB2312" w:hAnsi="仿宋_GB2312" w:eastAsia="仿宋_GB2312" w:cs="仿宋_GB2312"/>
          <w:sz w:val="32"/>
          <w:szCs w:val="32"/>
          <w:lang w:eastAsia="zh-Hans"/>
        </w:rPr>
        <w:t>“</w:t>
      </w:r>
      <w:r>
        <w:rPr>
          <w:rFonts w:hint="eastAsia" w:ascii="仿宋_GB2312" w:hAnsi="仿宋_GB2312" w:eastAsia="仿宋_GB2312" w:cs="仿宋_GB2312"/>
          <w:sz w:val="32"/>
          <w:szCs w:val="32"/>
        </w:rPr>
        <w:t>学习强国</w:t>
      </w:r>
      <w:r>
        <w:rPr>
          <w:rFonts w:hint="eastAsia" w:ascii="仿宋_GB2312" w:hAnsi="仿宋_GB2312" w:eastAsia="仿宋_GB2312" w:cs="仿宋_GB2312"/>
          <w:sz w:val="32"/>
          <w:szCs w:val="32"/>
          <w:lang w:eastAsia="zh-Hans"/>
        </w:rPr>
        <w:t>”“</w:t>
      </w:r>
      <w:r>
        <w:rPr>
          <w:rFonts w:hint="eastAsia" w:ascii="仿宋_GB2312" w:hAnsi="仿宋_GB2312" w:eastAsia="仿宋_GB2312" w:cs="仿宋_GB2312"/>
          <w:sz w:val="32"/>
          <w:szCs w:val="32"/>
          <w:lang w:val="en-US" w:eastAsia="zh-Hans"/>
        </w:rPr>
        <w:t>深圳</w:t>
      </w:r>
      <w:r>
        <w:rPr>
          <w:rFonts w:hint="eastAsia" w:ascii="仿宋_GB2312" w:hAnsi="仿宋_GB2312" w:eastAsia="仿宋_GB2312" w:cs="仿宋_GB2312"/>
          <w:sz w:val="32"/>
          <w:szCs w:val="32"/>
        </w:rPr>
        <w:t>智慧党建</w:t>
      </w:r>
      <w:r>
        <w:rPr>
          <w:rFonts w:hint="eastAsia" w:ascii="仿宋_GB2312" w:hAnsi="仿宋_GB2312" w:eastAsia="仿宋_GB2312" w:cs="仿宋_GB2312"/>
          <w:sz w:val="32"/>
          <w:szCs w:val="32"/>
          <w:lang w:eastAsia="zh-Hans"/>
        </w:rPr>
        <w:t>”</w:t>
      </w:r>
      <w:r>
        <w:rPr>
          <w:rFonts w:hint="eastAsia" w:ascii="仿宋_GB2312" w:hAnsi="仿宋_GB2312" w:eastAsia="仿宋_GB2312" w:cs="仿宋_GB2312"/>
          <w:sz w:val="32"/>
          <w:szCs w:val="32"/>
        </w:rPr>
        <w:t>等新媒体网络平台开展全员学习，通过“以考促学”，组织全体党员进行应知应会测试两次，满分率保持在90%以上；三是</w:t>
      </w:r>
      <w:r>
        <w:rPr>
          <w:rFonts w:hint="eastAsia" w:ascii="仿宋_GB2312" w:eastAsia="仿宋_GB2312"/>
          <w:sz w:val="32"/>
          <w:szCs w:val="32"/>
        </w:rPr>
        <w:t>坚持“三会一课”制度，共召开党员大会</w:t>
      </w:r>
      <w:r>
        <w:rPr>
          <w:rFonts w:ascii="仿宋_GB2312" w:eastAsia="仿宋_GB2312"/>
          <w:sz w:val="32"/>
          <w:szCs w:val="32"/>
        </w:rPr>
        <w:t>20</w:t>
      </w:r>
      <w:r>
        <w:rPr>
          <w:rFonts w:hint="eastAsia" w:ascii="仿宋_GB2312" w:eastAsia="仿宋_GB2312"/>
          <w:sz w:val="32"/>
          <w:szCs w:val="32"/>
        </w:rPr>
        <w:t>次、上党课4次，召开组织生活会6次、民主生活会2次，促进了全校党员在各自岗位发挥更大作用；四是建立“谈心谈话”常态机制，班子成员和党员谈心谈话16次，非党员中层干部谈话谈心3次，开展了2次民主测评。五是</w:t>
      </w:r>
      <w:r>
        <w:rPr>
          <w:rFonts w:ascii="仿宋_GB2312" w:hAnsi="仿宋" w:eastAsia="仿宋_GB2312"/>
          <w:sz w:val="32"/>
          <w:szCs w:val="32"/>
        </w:rPr>
        <w:t>疫情防控期间</w:t>
      </w:r>
      <w:r>
        <w:rPr>
          <w:rFonts w:hint="eastAsia" w:ascii="仿宋_GB2312" w:hAnsi="仿宋" w:eastAsia="仿宋_GB2312"/>
          <w:sz w:val="32"/>
          <w:szCs w:val="32"/>
        </w:rPr>
        <w:t>，党员志愿服务188次，619人次，并从校内走向社区共建，参与社区共建和社区志愿服务活动。</w:t>
      </w:r>
    </w:p>
    <w:p>
      <w:pPr>
        <w:ind w:firstLine="642" w:firstLineChars="200"/>
        <w:rPr>
          <w:rFonts w:ascii="仿宋_GB2312" w:hAnsi="楷体" w:eastAsia="仿宋_GB2312"/>
          <w:b/>
          <w:sz w:val="32"/>
          <w:szCs w:val="32"/>
        </w:rPr>
      </w:pPr>
      <w:r>
        <w:rPr>
          <w:rFonts w:hint="eastAsia" w:ascii="仿宋_GB2312" w:hAnsi="楷体" w:eastAsia="仿宋_GB2312"/>
          <w:b/>
          <w:sz w:val="32"/>
          <w:szCs w:val="32"/>
        </w:rPr>
        <w:t>2.加强德育工作，进一步建立健全德育工作制度，全方位、多渠道育人，强化养成教育。</w:t>
      </w:r>
    </w:p>
    <w:p>
      <w:pPr>
        <w:ind w:firstLine="640" w:firstLineChars="200"/>
        <w:rPr>
          <w:rFonts w:ascii="仿宋_GB2312" w:hAnsi="楷体" w:eastAsia="仿宋_GB2312"/>
          <w:sz w:val="32"/>
          <w:szCs w:val="32"/>
        </w:rPr>
      </w:pPr>
      <w:r>
        <w:rPr>
          <w:rFonts w:hint="eastAsia" w:ascii="仿宋_GB2312" w:hAnsi="楷体" w:eastAsia="仿宋_GB2312"/>
          <w:sz w:val="32"/>
          <w:szCs w:val="32"/>
        </w:rPr>
        <w:t>一是加强德育骨干队伍建设，特别重视对新班主任的培训；每学期坚持开好“五种会”即每周一次主题班会；每月一次年级级长、班主任会议、每学期一次班主任经验交流会、家长会。二是坚持每周一的升旗仪式和“国旗下讲话”制度、“文明班”评比制度、以重大节日或纪念日为主题的活动制度。三是全面落实“班级过程性评价考核方案”，根据《中学生日常行为规范》、《中学生守则》及学校的规章制度，对学生、班级、班主任每天的班级管理、学生成长、个人成长、临时工作、资料上交等五大块进行考核，目的是培养学生良好的行为习惯。四是开展活动育人工作，开展重大节庆日教育活动、纪念日教育活动、仪式教育活动、体育节活动，培养学生各种优良品质。五是开展实践育人工作，通过环保实践、劳动实践、志愿服务等实践工作，提升了学生的综合素质。</w:t>
      </w:r>
    </w:p>
    <w:p>
      <w:pPr>
        <w:ind w:firstLine="642" w:firstLineChars="200"/>
        <w:rPr>
          <w:rFonts w:ascii="仿宋_GB2312" w:hAnsi="楷体" w:eastAsia="仿宋_GB2312"/>
          <w:b/>
          <w:sz w:val="32"/>
          <w:szCs w:val="32"/>
        </w:rPr>
      </w:pPr>
      <w:r>
        <w:rPr>
          <w:rFonts w:hint="eastAsia" w:ascii="仿宋_GB2312" w:hAnsi="楷体" w:eastAsia="仿宋_GB2312"/>
          <w:b/>
          <w:sz w:val="32"/>
          <w:szCs w:val="32"/>
        </w:rPr>
        <w:t>3.加大常规教学管理力度，全面提高教学质量，实现师生共同成长。</w:t>
      </w:r>
    </w:p>
    <w:p>
      <w:pPr>
        <w:ind w:firstLine="640" w:firstLineChars="200"/>
        <w:rPr>
          <w:rFonts w:ascii="仿宋_GB2312" w:hAnsi="楷体" w:eastAsia="仿宋_GB2312"/>
          <w:b/>
          <w:sz w:val="32"/>
          <w:szCs w:val="32"/>
        </w:rPr>
      </w:pPr>
      <w:r>
        <w:rPr>
          <w:rFonts w:hint="eastAsia" w:ascii="仿宋_GB2312" w:hAnsi="楷体" w:eastAsia="仿宋_GB2312"/>
          <w:sz w:val="32"/>
          <w:szCs w:val="32"/>
        </w:rPr>
        <w:t>一是常规教学常抓不懈，从备课、上课、作业、质量监控等方面进行常规检查。学校开展了四次常规检查、四次质量检测，并对作业问题组织了一次重点检查。二是开展培优补差工作。为顺利完成本学年的教学任务，提升教学质量，让每个学生都能在原有基础上得到提高发展，体验学习进步的乐趣，达到全面提高学生素质的目的，根据我校学生的实际情况，本学期开展了四五六年级的培优补差工作，从而让优生更优，基础差的学生不断进步，共享成功。三是积极开展系列教学活动，开展了同课异构教学交流活动，效果较好；组织一二年级口语测试，了解学生识字、口算等部分教学情况，为阅读打下扎实的基础；语文科组邀请了专家刘俊祥老师、龙咏梅老师、肖绍国校长、张祖文老师到校指导语文教学工作；数学科组按低年级和高年级分组进行集体备课，重视常规，常听“推门课”，开展低年级“数学小讲堂”“书写大比拼”“特色作业展”“好习惯系列评比”“数学口语测试”等数学活动；英语科组邀请专家指导，积极开展学生配音比赛；体育科组严格执行“二加一”文件，认真上好每一节体育课，努力提高学生的身体素质和运动能力；音乐科组的老师们能够积极参加校内外各种教研活动，加强业务理论学习；美术科组积极参加区内校级、区级教研教学活动，进一步加强教学实践。</w:t>
      </w:r>
    </w:p>
    <w:p>
      <w:pPr>
        <w:ind w:firstLine="642" w:firstLineChars="200"/>
        <w:rPr>
          <w:rFonts w:ascii="仿宋_GB2312" w:hAnsi="楷体" w:eastAsia="仿宋_GB2312"/>
          <w:b/>
          <w:sz w:val="32"/>
          <w:szCs w:val="32"/>
        </w:rPr>
      </w:pPr>
      <w:r>
        <w:rPr>
          <w:rFonts w:hint="eastAsia" w:ascii="仿宋_GB2312" w:hAnsi="楷体" w:eastAsia="仿宋_GB2312"/>
          <w:b/>
          <w:sz w:val="32"/>
          <w:szCs w:val="32"/>
        </w:rPr>
        <w:t>4.做好疫情防控工作，加强安全管理，保障校园安全</w:t>
      </w:r>
    </w:p>
    <w:p>
      <w:pPr>
        <w:ind w:firstLine="640" w:firstLineChars="200"/>
        <w:rPr>
          <w:rFonts w:ascii="仿宋_GB2312" w:hAnsi="楷体" w:eastAsia="仿宋_GB2312"/>
          <w:sz w:val="32"/>
          <w:szCs w:val="32"/>
        </w:rPr>
      </w:pPr>
      <w:r>
        <w:rPr>
          <w:rFonts w:hint="eastAsia" w:ascii="仿宋_GB2312" w:hAnsi="楷体" w:eastAsia="仿宋_GB2312"/>
          <w:sz w:val="32"/>
          <w:szCs w:val="32"/>
        </w:rPr>
        <w:t>一是做好疫情防控工作，争创无疫安全校园。我校强化</w:t>
      </w:r>
      <w:r>
        <w:rPr>
          <w:rFonts w:hint="eastAsia" w:ascii="仿宋_GB2312" w:hAnsi="楷体" w:eastAsia="仿宋_GB2312"/>
          <w:sz w:val="32"/>
          <w:szCs w:val="32"/>
          <w:lang w:val="en-US" w:eastAsia="zh-Hans"/>
        </w:rPr>
        <w:t>预</w:t>
      </w:r>
      <w:r>
        <w:rPr>
          <w:rFonts w:hint="eastAsia" w:ascii="仿宋_GB2312" w:hAnsi="楷体" w:eastAsia="仿宋_GB2312"/>
          <w:sz w:val="32"/>
          <w:szCs w:val="32"/>
        </w:rPr>
        <w:t>防传染病安全宣传教育，提高防范技能。通过腾讯课堂、学校电子屏、宣传栏、安全教育课、深圳市安全教育平台以及班级QQ群、微信群等对学生进行安全教育，确保涉及学生安全教育的内容常教不怠。开学前认真做好新冠</w:t>
      </w:r>
      <w:r>
        <w:rPr>
          <w:rFonts w:hint="eastAsia" w:ascii="仿宋_GB2312" w:hAnsi="楷体" w:eastAsia="仿宋_GB2312"/>
          <w:sz w:val="32"/>
          <w:szCs w:val="32"/>
          <w:lang w:val="en-US" w:eastAsia="zh-Hans"/>
        </w:rPr>
        <w:t>肺炎</w:t>
      </w:r>
      <w:r>
        <w:rPr>
          <w:rFonts w:hint="eastAsia" w:ascii="仿宋_GB2312" w:hAnsi="楷体" w:eastAsia="仿宋_GB2312"/>
          <w:sz w:val="32"/>
          <w:szCs w:val="32"/>
        </w:rPr>
        <w:t>疫情防控安全演练，不断增强师生疫情安全防范意识和提高自我防护能力。在全体师生的共同努力下，我校疫情防控取得了阶段性成果，全校师生平安度过。二是加大隐患排查力度</w:t>
      </w:r>
      <w:r>
        <w:rPr>
          <w:rFonts w:ascii="仿宋_GB2312" w:hAnsi="楷体" w:eastAsia="仿宋_GB2312"/>
          <w:sz w:val="32"/>
          <w:szCs w:val="32"/>
        </w:rPr>
        <w:t>，</w:t>
      </w:r>
      <w:r>
        <w:rPr>
          <w:rFonts w:hint="eastAsia" w:ascii="仿宋_GB2312" w:hAnsi="楷体" w:eastAsia="仿宋_GB2312"/>
          <w:sz w:val="32"/>
          <w:szCs w:val="32"/>
          <w:lang w:eastAsia="zh-CN"/>
        </w:rPr>
        <w:t>防患于未然</w:t>
      </w:r>
      <w:r>
        <w:rPr>
          <w:rFonts w:hint="eastAsia" w:ascii="仿宋_GB2312" w:hAnsi="楷体" w:eastAsia="仿宋_GB2312"/>
          <w:sz w:val="32"/>
          <w:szCs w:val="32"/>
        </w:rPr>
        <w:t>。学校接受各部门安全检查七十余次，检查出安全隐患共计109处；三是认真做好学校消防工作，严格按要求配齐消防设施设备，指定专人负责定期检查消防器材，及时更换相关配件；四是认真做好食品安全管理工作，严把“病从口入”关。五是发挥社会各界力量，开展家校共建、警校共建平安校园，确保师生生命和财产安全。三是认真组织安全教育及培训工作，开展全体教职工学习安全文件及进行安全培训，组织班级消防安全教育主题班会、学习安全教育平台的119消防专题对学生进行消防安全教育，掌握消防知识，组织开展消防培训和全校师生安全疏散演练，指导学生在火灾中如何逃生及灭火技巧，加大交通安全宣传教育力度。</w:t>
      </w:r>
    </w:p>
    <w:p>
      <w:pPr>
        <w:ind w:firstLine="642" w:firstLineChars="200"/>
        <w:rPr>
          <w:rFonts w:ascii="仿宋_GB2312" w:hAnsi="楷体" w:eastAsia="仿宋_GB2312"/>
          <w:b/>
          <w:sz w:val="32"/>
          <w:szCs w:val="32"/>
        </w:rPr>
      </w:pPr>
      <w:r>
        <w:rPr>
          <w:rFonts w:hint="eastAsia" w:ascii="仿宋_GB2312" w:hAnsi="楷体" w:eastAsia="仿宋_GB2312"/>
          <w:b/>
          <w:sz w:val="32"/>
          <w:szCs w:val="32"/>
        </w:rPr>
        <w:t>5.抓好少先队常规工作，强化队员思想道德品质，培养良好文明礼仪习惯。</w:t>
      </w:r>
    </w:p>
    <w:p>
      <w:pPr>
        <w:ind w:firstLine="640" w:firstLineChars="200"/>
        <w:rPr>
          <w:rFonts w:ascii="仿宋_GB2312" w:hAnsi="楷体" w:eastAsia="仿宋_GB2312"/>
          <w:sz w:val="32"/>
          <w:szCs w:val="32"/>
        </w:rPr>
      </w:pPr>
      <w:r>
        <w:rPr>
          <w:rFonts w:hint="eastAsia" w:ascii="仿宋_GB2312" w:hAnsi="楷体" w:eastAsia="仿宋_GB2312"/>
          <w:sz w:val="32"/>
          <w:szCs w:val="32"/>
        </w:rPr>
        <w:t>一是组织全体队员学习《小学生日常行为规范》要求队员记清记牢，做到谆谆教诲，坚持不懈。二是采取正反两方面教育相结合的办法，大队干部每周不定期检查，通过平时抽查，并把抽查结果列入班级考核内容中，加强监督作用。三是积极开展各项活动，深化少先队素质教育。特色动感中队活动：我校依托动感中队，积极开展形式多样、丰富多彩的活动，促进了中队个性化文化的建设，建立了“阳光中队”“红树林中队”和“常青藤中队”等17个特色中队；“古城小导游”活动：为传承红色基因志愿宣讲行动，我校小导游社团周末到大鹏所城，进行公益宣讲活动，引导游客们树立正确的历史观、民族观、国家观、将宣讲活动打造成激活红色记忆、弘扬革命精神、传承红色基因的亮丽风景线；“感谢师恩，诉说心声”教师节活动：大力弘扬人民教师的高尚情操和良好的师德师风，进一步营造尊师重教的浓郁氛围，加强师生交流，增进师生感情；“红领巾与祖国共成长——争做新时代好队员”：庆祝中国少年先锋队建队71周年，引导队员们继承和弘扬少先队的光荣传统，增强少先队员的光荣感和自豪感；“暖暖黔行”捐助活动：将学校、家长、队员一起联动起来，使全体队员从小树立乐于助人、无私奉献的精神，培养队员们的爱心，锻炼队员们的社会实践能力。</w:t>
      </w:r>
    </w:p>
    <w:p>
      <w:pPr>
        <w:ind w:firstLine="642" w:firstLineChars="200"/>
        <w:rPr>
          <w:rFonts w:ascii="仿宋_GB2312" w:hAnsi="楷体" w:eastAsia="仿宋_GB2312"/>
          <w:b/>
          <w:sz w:val="32"/>
          <w:szCs w:val="32"/>
        </w:rPr>
      </w:pPr>
      <w:r>
        <w:rPr>
          <w:rFonts w:ascii="仿宋_GB2312" w:hAnsi="楷体" w:eastAsia="仿宋_GB2312"/>
          <w:b/>
          <w:sz w:val="32"/>
          <w:szCs w:val="32"/>
        </w:rPr>
        <w:t>6</w:t>
      </w:r>
      <w:r>
        <w:rPr>
          <w:rFonts w:hint="eastAsia" w:ascii="仿宋_GB2312" w:hAnsi="楷体" w:eastAsia="仿宋_GB2312"/>
          <w:b/>
          <w:sz w:val="32"/>
          <w:szCs w:val="32"/>
        </w:rPr>
        <w:t>.加强宣传工作，提升后勤保障服务工作</w:t>
      </w:r>
    </w:p>
    <w:p>
      <w:pPr>
        <w:ind w:firstLine="640" w:firstLineChars="200"/>
        <w:rPr>
          <w:rFonts w:ascii="仿宋_GB2312" w:hAnsi="楷体" w:eastAsia="仿宋_GB2312"/>
          <w:sz w:val="32"/>
          <w:szCs w:val="32"/>
        </w:rPr>
      </w:pPr>
      <w:r>
        <w:rPr>
          <w:rFonts w:hint="eastAsia" w:ascii="仿宋_GB2312" w:hAnsi="楷体" w:eastAsia="仿宋_GB2312"/>
          <w:sz w:val="32"/>
          <w:szCs w:val="32"/>
        </w:rPr>
        <w:t>一是及时在学校公众号发布学校最新动态，做好学校宣传工作；按时整理相关活动的照片资料，本学期共发布公众号文章52篇。二是继续实施“积分入学管理制度”，完成一年级招生分班工作。三是做好后勤服务工作，确保后勤保障及时、到位，努力创建优美的校园环境，进一步美化校园、绿化校园。</w:t>
      </w:r>
    </w:p>
    <w:p>
      <w:pPr>
        <w:ind w:firstLine="642" w:firstLineChars="200"/>
        <w:rPr>
          <w:rFonts w:ascii="楷体" w:hAnsi="楷体" w:eastAsia="楷体"/>
          <w:b/>
          <w:bCs/>
          <w:sz w:val="32"/>
          <w:szCs w:val="32"/>
        </w:rPr>
      </w:pPr>
      <w:r>
        <w:rPr>
          <w:rFonts w:hint="eastAsia" w:ascii="楷体" w:hAnsi="楷体" w:eastAsia="楷体"/>
          <w:b/>
          <w:bCs/>
          <w:sz w:val="32"/>
          <w:szCs w:val="32"/>
        </w:rPr>
        <w:t>（三）部门履职绩效情况。</w:t>
      </w:r>
    </w:p>
    <w:p>
      <w:pPr>
        <w:ind w:firstLine="803" w:firstLineChars="250"/>
        <w:rPr>
          <w:rFonts w:ascii="仿宋_GB2312" w:hAnsi="仿宋" w:eastAsia="仿宋_GB2312"/>
          <w:b/>
          <w:sz w:val="32"/>
          <w:szCs w:val="32"/>
        </w:rPr>
      </w:pPr>
      <w:r>
        <w:rPr>
          <w:rFonts w:ascii="仿宋_GB2312" w:hAnsi="仿宋" w:eastAsia="仿宋_GB2312"/>
          <w:b/>
          <w:sz w:val="32"/>
          <w:szCs w:val="32"/>
        </w:rPr>
        <w:t xml:space="preserve">1. </w:t>
      </w:r>
      <w:r>
        <w:rPr>
          <w:rFonts w:hint="eastAsia" w:ascii="仿宋_GB2312" w:hAnsi="仿宋" w:eastAsia="仿宋_GB2312"/>
          <w:b/>
          <w:sz w:val="32"/>
          <w:szCs w:val="32"/>
        </w:rPr>
        <w:t>经济性</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w:t>
      </w:r>
      <w:r>
        <w:rPr>
          <w:rFonts w:ascii="仿宋_GB2312" w:hAnsi="仿宋" w:eastAsia="仿宋_GB2312"/>
          <w:bCs/>
          <w:sz w:val="32"/>
          <w:szCs w:val="32"/>
        </w:rPr>
        <w:t>1</w:t>
      </w:r>
      <w:r>
        <w:rPr>
          <w:rFonts w:hint="eastAsia" w:ascii="仿宋_GB2312" w:hAnsi="仿宋" w:eastAsia="仿宋_GB2312"/>
          <w:bCs/>
          <w:sz w:val="32"/>
          <w:szCs w:val="32"/>
        </w:rPr>
        <w:t>）“三公”经费控制率</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我校</w:t>
      </w:r>
      <w:r>
        <w:rPr>
          <w:rFonts w:ascii="仿宋_GB2312" w:hAnsi="仿宋" w:eastAsia="仿宋_GB2312"/>
          <w:bCs/>
          <w:sz w:val="32"/>
          <w:szCs w:val="32"/>
        </w:rPr>
        <w:t xml:space="preserve">2020 </w:t>
      </w:r>
      <w:r>
        <w:rPr>
          <w:rFonts w:hint="eastAsia" w:ascii="仿宋_GB2312" w:hAnsi="仿宋" w:eastAsia="仿宋_GB2312"/>
          <w:bCs/>
          <w:sz w:val="32"/>
          <w:szCs w:val="32"/>
        </w:rPr>
        <w:t>年“三公”经费预算数为4.05万元，其中，因公出国（境）费</w:t>
      </w:r>
      <w:r>
        <w:rPr>
          <w:rFonts w:ascii="仿宋_GB2312" w:hAnsi="仿宋" w:eastAsia="仿宋_GB2312"/>
          <w:bCs/>
          <w:sz w:val="32"/>
          <w:szCs w:val="32"/>
        </w:rPr>
        <w:t xml:space="preserve"> 0 万</w:t>
      </w:r>
      <w:r>
        <w:rPr>
          <w:rFonts w:hint="eastAsia" w:ascii="仿宋_GB2312" w:hAnsi="仿宋" w:eastAsia="仿宋_GB2312"/>
          <w:bCs/>
          <w:sz w:val="32"/>
          <w:szCs w:val="32"/>
        </w:rPr>
        <w:t>元，公务用车购置及运行维护费4.05万元，公务接待费0万元。实际支出</w:t>
      </w:r>
      <w:r>
        <w:rPr>
          <w:rFonts w:ascii="仿宋_GB2312" w:hAnsi="仿宋" w:eastAsia="仿宋_GB2312"/>
          <w:bCs/>
          <w:sz w:val="32"/>
          <w:szCs w:val="32"/>
        </w:rPr>
        <w:t>3.99</w:t>
      </w:r>
      <w:r>
        <w:rPr>
          <w:rFonts w:hint="eastAsia" w:ascii="仿宋_GB2312" w:hAnsi="仿宋" w:eastAsia="仿宋_GB2312"/>
          <w:bCs/>
          <w:sz w:val="32"/>
          <w:szCs w:val="32"/>
        </w:rPr>
        <w:t>万元。其中因公出国（境）费</w:t>
      </w:r>
      <w:r>
        <w:rPr>
          <w:rFonts w:ascii="仿宋_GB2312" w:hAnsi="仿宋" w:eastAsia="仿宋_GB2312"/>
          <w:bCs/>
          <w:sz w:val="32"/>
          <w:szCs w:val="32"/>
        </w:rPr>
        <w:t xml:space="preserve"> 0万</w:t>
      </w:r>
      <w:r>
        <w:rPr>
          <w:rFonts w:hint="eastAsia" w:ascii="仿宋_GB2312" w:hAnsi="仿宋" w:eastAsia="仿宋_GB2312"/>
          <w:bCs/>
          <w:sz w:val="32"/>
          <w:szCs w:val="32"/>
        </w:rPr>
        <w:t>元，公务用车购置及运行维护费</w:t>
      </w:r>
      <w:r>
        <w:rPr>
          <w:rFonts w:ascii="仿宋_GB2312" w:hAnsi="仿宋" w:eastAsia="仿宋_GB2312"/>
          <w:bCs/>
          <w:sz w:val="32"/>
          <w:szCs w:val="32"/>
        </w:rPr>
        <w:t>3.99</w:t>
      </w:r>
      <w:r>
        <w:rPr>
          <w:rFonts w:hint="eastAsia" w:ascii="仿宋_GB2312" w:hAnsi="仿宋" w:eastAsia="仿宋_GB2312"/>
          <w:bCs/>
          <w:sz w:val="32"/>
          <w:szCs w:val="32"/>
        </w:rPr>
        <w:t>万元，公务接待费0万元。“三公”经费控制率为98.52</w:t>
      </w:r>
      <w:r>
        <w:rPr>
          <w:rFonts w:ascii="仿宋_GB2312" w:hAnsi="仿宋" w:eastAsia="仿宋_GB2312"/>
          <w:bCs/>
          <w:sz w:val="32"/>
          <w:szCs w:val="32"/>
        </w:rPr>
        <w:t>%</w:t>
      </w:r>
      <w:r>
        <w:rPr>
          <w:rFonts w:hint="eastAsia" w:ascii="仿宋_GB2312" w:hAnsi="仿宋" w:eastAsia="仿宋_GB2312"/>
          <w:bCs/>
          <w:sz w:val="32"/>
          <w:szCs w:val="32"/>
        </w:rPr>
        <w:t>，“三公”经费控制情况良好，但压减力度不足。</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w:t>
      </w:r>
      <w:r>
        <w:rPr>
          <w:rFonts w:ascii="仿宋_GB2312" w:hAnsi="仿宋" w:eastAsia="仿宋_GB2312"/>
          <w:bCs/>
          <w:sz w:val="32"/>
          <w:szCs w:val="32"/>
        </w:rPr>
        <w:t>2</w:t>
      </w:r>
      <w:r>
        <w:rPr>
          <w:rFonts w:hint="eastAsia" w:ascii="仿宋_GB2312" w:hAnsi="仿宋" w:eastAsia="仿宋_GB2312"/>
          <w:bCs/>
          <w:sz w:val="32"/>
          <w:szCs w:val="32"/>
        </w:rPr>
        <w:t>）日常公用经费控制率</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我校</w:t>
      </w:r>
      <w:r>
        <w:rPr>
          <w:rFonts w:ascii="仿宋_GB2312" w:hAnsi="仿宋" w:eastAsia="仿宋_GB2312"/>
          <w:bCs/>
          <w:sz w:val="32"/>
          <w:szCs w:val="32"/>
        </w:rPr>
        <w:t>2020</w:t>
      </w:r>
      <w:r>
        <w:rPr>
          <w:rFonts w:hint="eastAsia" w:ascii="仿宋_GB2312" w:hAnsi="仿宋" w:eastAsia="仿宋_GB2312"/>
          <w:bCs/>
          <w:sz w:val="32"/>
          <w:szCs w:val="32"/>
        </w:rPr>
        <w:t>年日常公用经费年度总预算数为</w:t>
      </w:r>
      <w:r>
        <w:rPr>
          <w:rFonts w:ascii="仿宋_GB2312" w:hAnsi="仿宋" w:eastAsia="仿宋_GB2312"/>
          <w:bCs/>
          <w:sz w:val="32"/>
          <w:szCs w:val="32"/>
        </w:rPr>
        <w:t>148.33</w:t>
      </w:r>
      <w:r>
        <w:rPr>
          <w:rFonts w:hint="eastAsia" w:ascii="仿宋_GB2312" w:hAnsi="仿宋" w:eastAsia="仿宋_GB2312"/>
          <w:bCs/>
          <w:sz w:val="32"/>
          <w:szCs w:val="32"/>
        </w:rPr>
        <w:t>万元,决算数为</w:t>
      </w:r>
      <w:r>
        <w:rPr>
          <w:rFonts w:ascii="仿宋_GB2312" w:hAnsi="仿宋" w:eastAsia="仿宋_GB2312"/>
          <w:bCs/>
          <w:sz w:val="32"/>
          <w:szCs w:val="32"/>
        </w:rPr>
        <w:t>144.49</w:t>
      </w:r>
      <w:r>
        <w:rPr>
          <w:rFonts w:hint="eastAsia" w:ascii="仿宋_GB2312" w:hAnsi="仿宋" w:eastAsia="仿宋_GB2312"/>
          <w:bCs/>
          <w:sz w:val="32"/>
          <w:szCs w:val="32"/>
        </w:rPr>
        <w:t>万元。日常公用经费控制率为</w:t>
      </w:r>
      <w:r>
        <w:rPr>
          <w:rFonts w:ascii="仿宋_GB2312" w:hAnsi="仿宋" w:eastAsia="仿宋_GB2312"/>
          <w:bCs/>
          <w:sz w:val="32"/>
          <w:szCs w:val="32"/>
        </w:rPr>
        <w:t>97.41</w:t>
      </w:r>
      <w:r>
        <w:rPr>
          <w:rFonts w:hint="eastAsia" w:ascii="仿宋_GB2312" w:hAnsi="仿宋" w:eastAsia="仿宋_GB2312"/>
          <w:bCs/>
          <w:sz w:val="32"/>
          <w:szCs w:val="32"/>
        </w:rPr>
        <w:t>%。日常公用经费控制较好，但压减力度不足。</w:t>
      </w:r>
    </w:p>
    <w:p>
      <w:pPr>
        <w:ind w:firstLine="642" w:firstLineChars="200"/>
        <w:rPr>
          <w:rFonts w:ascii="仿宋_GB2312" w:hAnsi="仿宋" w:eastAsia="仿宋_GB2312"/>
          <w:b/>
          <w:sz w:val="32"/>
          <w:szCs w:val="32"/>
        </w:rPr>
      </w:pPr>
      <w:r>
        <w:rPr>
          <w:rFonts w:hint="eastAsia" w:ascii="仿宋_GB2312" w:hAnsi="仿宋" w:eastAsia="仿宋_GB2312"/>
          <w:b/>
          <w:sz w:val="32"/>
          <w:szCs w:val="32"/>
        </w:rPr>
        <w:t>2.效率性</w:t>
      </w:r>
    </w:p>
    <w:p>
      <w:pPr>
        <w:ind w:firstLine="640" w:firstLineChars="200"/>
        <w:rPr>
          <w:rFonts w:ascii="仿宋_GB2312" w:hAnsi="仿宋" w:eastAsia="仿宋_GB2312"/>
          <w:b/>
          <w:sz w:val="32"/>
          <w:szCs w:val="32"/>
        </w:rPr>
      </w:pPr>
      <w:r>
        <w:rPr>
          <w:rFonts w:hint="eastAsia" w:ascii="仿宋_GB2312" w:hAnsi="仿宋" w:eastAsia="仿宋_GB2312"/>
          <w:bCs/>
          <w:sz w:val="32"/>
          <w:szCs w:val="32"/>
        </w:rPr>
        <w:t>我校2020年第一、第二、第三、第四季度的预算执行率分别为20.3%、55.8%、82.1%、99.8%，预算执行进度总体较好。并按时完成了部门整体绩效目标的各项工作，达成年度工作目标，注重整合资源，以项目带动推进重点工作，不断完善机制、健全政策、规范管理，推动工作取得新成效。</w:t>
      </w:r>
    </w:p>
    <w:p>
      <w:pPr>
        <w:ind w:firstLine="642" w:firstLineChars="200"/>
        <w:rPr>
          <w:rFonts w:ascii="仿宋_GB2312" w:hAnsi="仿宋" w:eastAsia="仿宋_GB2312"/>
          <w:b/>
          <w:sz w:val="32"/>
          <w:szCs w:val="32"/>
        </w:rPr>
      </w:pPr>
      <w:r>
        <w:rPr>
          <w:rFonts w:hint="eastAsia" w:ascii="仿宋_GB2312" w:hAnsi="仿宋" w:eastAsia="仿宋_GB2312"/>
          <w:b/>
          <w:sz w:val="32"/>
          <w:szCs w:val="32"/>
        </w:rPr>
        <w:t>3.效果性</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2020年，我校坚持围绕中心抓工作，突出重点抓落实，做到领导有责任，部门有分工，工作</w:t>
      </w:r>
      <w:r>
        <w:rPr>
          <w:rFonts w:hint="default" w:ascii="仿宋_GB2312" w:hAnsi="仿宋" w:eastAsia="仿宋_GB2312"/>
          <w:bCs/>
          <w:sz w:val="32"/>
          <w:szCs w:val="32"/>
        </w:rPr>
        <w:t>有</w:t>
      </w:r>
      <w:r>
        <w:rPr>
          <w:rFonts w:hint="eastAsia" w:ascii="仿宋_GB2312" w:hAnsi="仿宋" w:eastAsia="仿宋_GB2312"/>
          <w:bCs/>
          <w:sz w:val="32"/>
          <w:szCs w:val="32"/>
        </w:rPr>
        <w:t>重点，任务有落实，通过全校师生的共同努力，学校及师生荣誉收获满满：</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（1）教师获奖：语文方面，刘归航老师参加新区青年教师基本功比赛获得二等奖；祁艳老师参加新区语文教师朗诵课文篇目</w:t>
      </w:r>
      <w:r>
        <w:rPr>
          <w:rFonts w:hint="eastAsia" w:ascii="仿宋_GB2312" w:hAnsi="仿宋" w:eastAsia="仿宋_GB2312"/>
          <w:bCs/>
          <w:sz w:val="32"/>
          <w:szCs w:val="32"/>
          <w:lang w:val="en-US" w:eastAsia="zh-CN"/>
        </w:rPr>
        <w:t>比赛</w:t>
      </w:r>
      <w:r>
        <w:rPr>
          <w:rFonts w:hint="eastAsia" w:ascii="仿宋_GB2312" w:hAnsi="仿宋" w:eastAsia="仿宋_GB2312"/>
          <w:bCs/>
          <w:sz w:val="32"/>
          <w:szCs w:val="32"/>
        </w:rPr>
        <w:t>获得新区一等奖第一名并代表大鹏新区参加深圳市比赛获得三等奖；王丽老师撰写诗教论文获得深圳市三等奖；在新区优课评比中董玉玲校长、熊艳老师获得一等奖，耿宏云、赵婧等老师获二等奖，朱晓洁、伍宇红等老师获得三等奖。数学：张志清老师录像课获得区二等奖，刘文彬、谢娟老师获得区三等奖；钟梦莎、谢慧玲新区小学数学教师教学技能大赛获得二等奖；谢娟、刘文彬、邹晓波老师编写的二年级数学《第一课堂》已顺利出版。英语方面，方兴、陈菲菱深圳市微课比赛三等奖，方兴、周玲区优课二等奖、岳白川、陈菲菱三等奖。其他方面，田心怡获得新区音乐教师说课一等奖，论文二等奖；彭锐新区中小学美术教师基本功比赛一等奖；新区教育系统师生书画作品展评活动中，郭健获得书法类一等奖两个，美术类一等奖两个，白岩峰老师获得美术类一等奖，彭锐老师获得美术类一等奖和二等奖；王思慧新区综合实践比赛二等奖；陈斌新区信息技术比赛三等奖、深圳市微课三等奖；洪树杰新区道法比赛三等奖。</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2）学生获奖：语文方面，四（2）杨晓彤同学参加大鹏新区“我最喜爱的课外书推介”比赛获得一等奖，六（2）宋桐年、四（2）吴嘉轩获得三等奖；六（2）杨晓彤、五（2）李佳佳、曾韵侨、张雅涵参加深圳市古诗词吟诵比赛获得三等奖。英语方面，新区配音比赛一等奖张歆蕊、二等奖刘紫怡、三等奖郑熙霖、农静怡、黄文雨、谢胤灏、赖奕凡。</w:t>
      </w:r>
    </w:p>
    <w:p>
      <w:pPr>
        <w:ind w:firstLine="642" w:firstLineChars="200"/>
        <w:rPr>
          <w:rFonts w:ascii="楷体" w:hAnsi="楷体" w:eastAsia="楷体"/>
          <w:b/>
          <w:bCs/>
          <w:sz w:val="32"/>
          <w:szCs w:val="32"/>
        </w:rPr>
      </w:pPr>
      <w:r>
        <w:rPr>
          <w:rFonts w:hint="eastAsia" w:ascii="楷体" w:hAnsi="楷体" w:eastAsia="楷体"/>
          <w:b/>
          <w:bCs/>
          <w:sz w:val="32"/>
          <w:szCs w:val="32"/>
        </w:rPr>
        <w:t>4.公平性</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我校已通过电话热线、微信公众号等渠道与家长、群众互动交流、建立意见反映渠道以及家长群众意见办理回复机制，记录家长群众的各项咨询投诉问题，做好信访回复工作。</w:t>
      </w:r>
    </w:p>
    <w:p>
      <w:pPr>
        <w:ind w:firstLine="642" w:firstLineChars="200"/>
        <w:rPr>
          <w:rFonts w:ascii="黑体" w:hAnsi="黑体" w:eastAsia="黑体"/>
          <w:b/>
          <w:bCs/>
          <w:sz w:val="32"/>
          <w:szCs w:val="32"/>
        </w:rPr>
      </w:pPr>
      <w:r>
        <w:rPr>
          <w:rFonts w:hint="eastAsia" w:ascii="黑体" w:hAnsi="黑体" w:eastAsia="黑体"/>
          <w:b/>
          <w:bCs/>
          <w:sz w:val="32"/>
          <w:szCs w:val="32"/>
        </w:rPr>
        <w:t xml:space="preserve"> 三、总体评价和整改措施</w:t>
      </w:r>
    </w:p>
    <w:p>
      <w:pPr>
        <w:ind w:firstLine="642" w:firstLineChars="200"/>
        <w:rPr>
          <w:rFonts w:ascii="楷体" w:hAnsi="楷体" w:eastAsia="楷体"/>
          <w:b/>
          <w:bCs/>
          <w:sz w:val="32"/>
          <w:szCs w:val="32"/>
        </w:rPr>
      </w:pPr>
      <w:r>
        <w:rPr>
          <w:rFonts w:hint="eastAsia" w:ascii="楷体" w:hAnsi="楷体" w:eastAsia="楷体"/>
          <w:b/>
          <w:bCs/>
          <w:sz w:val="32"/>
          <w:szCs w:val="32"/>
        </w:rPr>
        <w:t>（一）预算绩效管理工作主要经验、做法。</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2020年，我校紧紧围绕《大鹏新区发展和财政局贯彻落实全面实施预算绩效管理的工作方案》（深鹏发财〔2019〕445号</w:t>
      </w:r>
      <w:r>
        <w:rPr>
          <w:rFonts w:hint="eastAsia" w:ascii="仿宋_GB2312" w:hAnsi="仿宋" w:eastAsia="仿宋_GB2312"/>
          <w:bCs/>
          <w:sz w:val="32"/>
          <w:szCs w:val="32"/>
          <w:lang w:eastAsia="zh-CN"/>
        </w:rPr>
        <w:t>）</w:t>
      </w:r>
      <w:r>
        <w:rPr>
          <w:rFonts w:hint="eastAsia" w:ascii="仿宋_GB2312" w:hAnsi="仿宋" w:eastAsia="仿宋_GB2312"/>
          <w:bCs/>
          <w:sz w:val="32"/>
          <w:szCs w:val="32"/>
        </w:rPr>
        <w:t xml:space="preserve">等法规制度规定，积极推动预算绩效管理各项工作全面开展。 </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 xml:space="preserve">1.认真做好预算绩效管理规定任务 </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在部门预算编制环节，我校认真组织编制项目支出和整体支出绩效目标；在预算执行环节，加强对各项支出的绩效监控，重点对各项目的预算执行进度、支出合规性进行分析和反馈；在绩效评价环节，积极配合</w:t>
      </w:r>
      <w:r>
        <w:rPr>
          <w:rFonts w:hint="eastAsia" w:ascii="仿宋_GB2312" w:hAnsi="仿宋" w:eastAsia="仿宋_GB2312"/>
          <w:bCs/>
          <w:sz w:val="32"/>
          <w:szCs w:val="32"/>
          <w:lang w:val="en-US" w:eastAsia="zh-CN"/>
        </w:rPr>
        <w:t>新</w:t>
      </w:r>
      <w:r>
        <w:rPr>
          <w:rFonts w:hint="eastAsia" w:ascii="仿宋_GB2312" w:hAnsi="仿宋" w:eastAsia="仿宋_GB2312"/>
          <w:bCs/>
          <w:sz w:val="32"/>
          <w:szCs w:val="32"/>
        </w:rPr>
        <w:t>区</w:t>
      </w:r>
      <w:r>
        <w:rPr>
          <w:rFonts w:hint="eastAsia" w:ascii="仿宋_GB2312" w:hAnsi="仿宋" w:eastAsia="仿宋_GB2312"/>
          <w:bCs/>
          <w:sz w:val="32"/>
          <w:szCs w:val="32"/>
          <w:lang w:val="en-US" w:eastAsia="zh-Hans"/>
        </w:rPr>
        <w:t>发展和财政局</w:t>
      </w:r>
      <w:r>
        <w:rPr>
          <w:rFonts w:hint="eastAsia" w:ascii="仿宋_GB2312" w:hAnsi="仿宋" w:eastAsia="仿宋_GB2312"/>
          <w:bCs/>
          <w:sz w:val="32"/>
          <w:szCs w:val="32"/>
        </w:rPr>
        <w:t>、</w:t>
      </w:r>
      <w:r>
        <w:rPr>
          <w:rFonts w:hint="eastAsia" w:ascii="仿宋_GB2312" w:hAnsi="仿宋" w:eastAsia="仿宋_GB2312"/>
          <w:bCs/>
          <w:sz w:val="32"/>
          <w:szCs w:val="32"/>
          <w:lang w:val="en-US" w:eastAsia="zh-CN"/>
        </w:rPr>
        <w:t>新</w:t>
      </w:r>
      <w:r>
        <w:rPr>
          <w:rFonts w:hint="eastAsia" w:ascii="仿宋_GB2312" w:hAnsi="仿宋" w:eastAsia="仿宋_GB2312"/>
          <w:bCs/>
          <w:sz w:val="32"/>
          <w:szCs w:val="32"/>
        </w:rPr>
        <w:t>区教育和卫</w:t>
      </w:r>
      <w:r>
        <w:rPr>
          <w:rFonts w:hint="eastAsia" w:ascii="仿宋_GB2312" w:hAnsi="仿宋" w:eastAsia="仿宋_GB2312"/>
          <w:bCs/>
          <w:sz w:val="32"/>
          <w:szCs w:val="32"/>
          <w:lang w:val="en-US" w:eastAsia="zh-CN"/>
        </w:rPr>
        <w:t>生健康</w:t>
      </w:r>
      <w:r>
        <w:rPr>
          <w:rFonts w:hint="eastAsia" w:ascii="仿宋_GB2312" w:hAnsi="仿宋" w:eastAsia="仿宋_GB2312"/>
          <w:bCs/>
          <w:sz w:val="32"/>
          <w:szCs w:val="32"/>
        </w:rPr>
        <w:t xml:space="preserve">局的绩效检查，并采取委托第三方中介机构进行专业指导的核查，提高我校预算绩效评价质量，落实绩效结果应用。 </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 xml:space="preserve">2.不断健全完善预算管理制度体系 </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 xml:space="preserve">我校为适应预算绩效管理形势，在《大鹏新区教育和卫生健康局部门预算绩效管理办法（试行）》的基础上制定符合我校的预算管理办法，在草案中增加了预算绩效目标编制、绩效监控、绩效评价、评价结果运用等内容，丰富了学校预算管理的内涵。同时，为提高项目预算编制质量和预算执行效率，我校开展了项目库制度体系建设工作，制定了涵盖项目库基本管理、项目库运行流程等制度编制工作计划。 </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 xml:space="preserve">3.强力提高各部门预算绩效意识，充分发挥财政资金使用效益 </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 xml:space="preserve">我校于每年预算编制开展前，召开了校内部门预算编制工作布置会。学校领导反复强调预算绩效管理的重要性，要求各部门编制年度预算时须明确项目支出的长期目标和年度目标。学校将根据各部门填报的绩效目标情况开展绩效评价工作，绩效评价结果将直接影响今后项目经费的资金分配。通过绩效评价工作责任层层传导，增强各资金使用部门预算绩效意识，有助于提高有限财政资金的使用效益，确保“好钢用在刀刃上”。 </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通过这些举措，我校预算绩效管理工作逐渐规范化、科学化。今后，我校将进一步加强和促进预算绩效管理，力争各项工作再上新台阶。</w:t>
      </w:r>
    </w:p>
    <w:p>
      <w:pPr>
        <w:ind w:firstLine="642" w:firstLineChars="200"/>
        <w:rPr>
          <w:rFonts w:ascii="楷体" w:hAnsi="楷体" w:eastAsia="楷体"/>
          <w:b/>
          <w:bCs/>
          <w:sz w:val="32"/>
          <w:szCs w:val="32"/>
        </w:rPr>
      </w:pPr>
      <w:r>
        <w:rPr>
          <w:rFonts w:hint="eastAsia" w:ascii="楷体" w:hAnsi="楷体" w:eastAsia="楷体"/>
          <w:b/>
          <w:bCs/>
          <w:sz w:val="32"/>
          <w:szCs w:val="32"/>
        </w:rPr>
        <w:t>（二）部门整体支出绩效存在问题及改进措施。</w:t>
      </w:r>
    </w:p>
    <w:p>
      <w:pPr>
        <w:ind w:firstLine="642" w:firstLineChars="200"/>
        <w:rPr>
          <w:rFonts w:ascii="仿宋_GB2312" w:hAnsi="仿宋" w:eastAsia="仿宋_GB2312"/>
          <w:bCs/>
          <w:sz w:val="32"/>
          <w:szCs w:val="32"/>
        </w:rPr>
      </w:pPr>
      <w:r>
        <w:rPr>
          <w:rFonts w:ascii="仿宋_GB2312" w:hAnsi="仿宋" w:eastAsia="仿宋_GB2312"/>
          <w:b/>
          <w:bCs/>
          <w:sz w:val="32"/>
          <w:szCs w:val="32"/>
        </w:rPr>
        <w:t>1.</w:t>
      </w:r>
      <w:r>
        <w:rPr>
          <w:rFonts w:hint="eastAsia" w:ascii="仿宋_GB2312" w:hAnsi="仿宋" w:eastAsia="仿宋_GB2312"/>
          <w:b/>
          <w:bCs/>
          <w:sz w:val="32"/>
          <w:szCs w:val="32"/>
        </w:rPr>
        <w:t>存在的问题</w:t>
      </w:r>
      <w:r>
        <w:rPr>
          <w:rFonts w:hint="eastAsia" w:ascii="仿宋_GB2312" w:hAnsi="仿宋" w:eastAsia="仿宋_GB2312"/>
          <w:bCs/>
          <w:sz w:val="32"/>
          <w:szCs w:val="32"/>
        </w:rPr>
        <w:t>。</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（1）绩效指标细化程度略有不足。部分人员对绩效评价工作的认识还不够深入，工作缺乏指导，存在部门项目绩效目标申报表存在填报内容不规范、绩效指标细化程度不足的情况。</w:t>
      </w:r>
    </w:p>
    <w:p>
      <w:pPr>
        <w:pStyle w:val="2"/>
        <w:ind w:firstLine="640" w:firstLineChars="200"/>
        <w:jc w:val="left"/>
        <w:rPr>
          <w:rFonts w:ascii="仿宋_GB2312" w:hAnsi="仿宋" w:eastAsia="仿宋_GB2312" w:cs="Times New Roman"/>
          <w:bCs/>
          <w:sz w:val="32"/>
          <w:szCs w:val="32"/>
        </w:rPr>
      </w:pPr>
      <w:r>
        <w:rPr>
          <w:rFonts w:hint="eastAsia" w:ascii="仿宋_GB2312" w:hAnsi="仿宋" w:eastAsia="仿宋_GB2312"/>
          <w:bCs/>
          <w:sz w:val="32"/>
          <w:szCs w:val="32"/>
        </w:rPr>
        <w:t>（2）</w:t>
      </w:r>
      <w:r>
        <w:rPr>
          <w:rFonts w:hint="eastAsia" w:ascii="仿宋_GB2312" w:hAnsi="仿宋" w:eastAsia="仿宋_GB2312" w:cs="Times New Roman"/>
          <w:bCs/>
          <w:sz w:val="32"/>
          <w:szCs w:val="32"/>
        </w:rPr>
        <w:t>我校2020年末在职人员31人，其他人员6人，编外人员控制率16.21%，比率超10%。</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（3）我校</w:t>
      </w:r>
      <w:r>
        <w:rPr>
          <w:rFonts w:ascii="仿宋_GB2312" w:hAnsi="仿宋" w:eastAsia="仿宋_GB2312"/>
          <w:bCs/>
          <w:sz w:val="32"/>
          <w:szCs w:val="32"/>
        </w:rPr>
        <w:t>2020</w:t>
      </w:r>
      <w:r>
        <w:rPr>
          <w:rFonts w:hint="eastAsia" w:ascii="仿宋_GB2312" w:hAnsi="仿宋" w:eastAsia="仿宋_GB2312"/>
          <w:bCs/>
          <w:sz w:val="32"/>
          <w:szCs w:val="32"/>
        </w:rPr>
        <w:t>年“三公”经费预算数为4.05万元，实际支出</w:t>
      </w:r>
      <w:r>
        <w:rPr>
          <w:rFonts w:ascii="仿宋_GB2312" w:hAnsi="仿宋" w:eastAsia="仿宋_GB2312"/>
          <w:bCs/>
          <w:sz w:val="32"/>
          <w:szCs w:val="32"/>
        </w:rPr>
        <w:t>3.99</w:t>
      </w:r>
      <w:r>
        <w:rPr>
          <w:rFonts w:hint="eastAsia" w:ascii="仿宋_GB2312" w:hAnsi="仿宋" w:eastAsia="仿宋_GB2312"/>
          <w:bCs/>
          <w:sz w:val="32"/>
          <w:szCs w:val="32"/>
        </w:rPr>
        <w:t>万元，“三公”经费控制率为98.52</w:t>
      </w:r>
      <w:r>
        <w:rPr>
          <w:rFonts w:ascii="仿宋_GB2312" w:hAnsi="仿宋" w:eastAsia="仿宋_GB2312"/>
          <w:bCs/>
          <w:sz w:val="32"/>
          <w:szCs w:val="32"/>
        </w:rPr>
        <w:t>%</w:t>
      </w:r>
      <w:r>
        <w:rPr>
          <w:rFonts w:hint="eastAsia" w:ascii="仿宋_GB2312" w:hAnsi="仿宋" w:eastAsia="仿宋_GB2312"/>
          <w:bCs/>
          <w:sz w:val="32"/>
          <w:szCs w:val="32"/>
        </w:rPr>
        <w:t>，“三公”经费控制情况良好，但压减力度不足。</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我校</w:t>
      </w:r>
      <w:r>
        <w:rPr>
          <w:rFonts w:ascii="仿宋_GB2312" w:hAnsi="仿宋" w:eastAsia="仿宋_GB2312"/>
          <w:bCs/>
          <w:sz w:val="32"/>
          <w:szCs w:val="32"/>
        </w:rPr>
        <w:t>2020</w:t>
      </w:r>
      <w:r>
        <w:rPr>
          <w:rFonts w:hint="eastAsia" w:ascii="仿宋_GB2312" w:hAnsi="仿宋" w:eastAsia="仿宋_GB2312"/>
          <w:bCs/>
          <w:sz w:val="32"/>
          <w:szCs w:val="32"/>
        </w:rPr>
        <w:t>年日常公用经费年度总预算数为</w:t>
      </w:r>
      <w:r>
        <w:rPr>
          <w:rFonts w:ascii="仿宋_GB2312" w:hAnsi="仿宋" w:eastAsia="仿宋_GB2312"/>
          <w:bCs/>
          <w:sz w:val="32"/>
          <w:szCs w:val="32"/>
        </w:rPr>
        <w:t>148.33</w:t>
      </w:r>
      <w:r>
        <w:rPr>
          <w:rFonts w:hint="eastAsia" w:ascii="仿宋_GB2312" w:hAnsi="仿宋" w:eastAsia="仿宋_GB2312"/>
          <w:bCs/>
          <w:sz w:val="32"/>
          <w:szCs w:val="32"/>
        </w:rPr>
        <w:t>万元,决算数为</w:t>
      </w:r>
      <w:r>
        <w:rPr>
          <w:rFonts w:ascii="仿宋_GB2312" w:hAnsi="仿宋" w:eastAsia="仿宋_GB2312"/>
          <w:bCs/>
          <w:sz w:val="32"/>
          <w:szCs w:val="32"/>
        </w:rPr>
        <w:t>144.49</w:t>
      </w:r>
      <w:r>
        <w:rPr>
          <w:rFonts w:hint="eastAsia" w:ascii="仿宋_GB2312" w:hAnsi="仿宋" w:eastAsia="仿宋_GB2312"/>
          <w:bCs/>
          <w:sz w:val="32"/>
          <w:szCs w:val="32"/>
        </w:rPr>
        <w:t>万元。日常公用经费控制率为</w:t>
      </w:r>
      <w:r>
        <w:rPr>
          <w:rFonts w:ascii="仿宋_GB2312" w:hAnsi="仿宋" w:eastAsia="仿宋_GB2312"/>
          <w:bCs/>
          <w:sz w:val="32"/>
          <w:szCs w:val="32"/>
        </w:rPr>
        <w:t>97.41</w:t>
      </w:r>
      <w:r>
        <w:rPr>
          <w:rFonts w:hint="eastAsia" w:ascii="仿宋_GB2312" w:hAnsi="仿宋" w:eastAsia="仿宋_GB2312"/>
          <w:bCs/>
          <w:sz w:val="32"/>
          <w:szCs w:val="32"/>
        </w:rPr>
        <w:t>%。日常公用经费控制较好，但压减力度不足。</w:t>
      </w:r>
    </w:p>
    <w:p>
      <w:pPr>
        <w:pStyle w:val="2"/>
        <w:ind w:firstLine="640" w:firstLineChars="200"/>
        <w:jc w:val="left"/>
        <w:rPr>
          <w:rFonts w:ascii="仿宋_GB2312" w:hAnsi="仿宋" w:eastAsia="仿宋_GB2312" w:cs="Times New Roman"/>
          <w:bCs/>
          <w:sz w:val="32"/>
          <w:szCs w:val="32"/>
        </w:rPr>
      </w:pPr>
      <w:r>
        <w:rPr>
          <w:rFonts w:hint="eastAsia" w:ascii="仿宋_GB2312" w:hAnsi="仿宋" w:eastAsia="仿宋_GB2312" w:cs="Times New Roman"/>
          <w:bCs/>
          <w:sz w:val="32"/>
          <w:szCs w:val="32"/>
        </w:rPr>
        <w:t>（4）</w:t>
      </w:r>
      <w:r>
        <w:rPr>
          <w:rFonts w:hint="eastAsia" w:ascii="仿宋_GB2312" w:hAnsi="仿宋" w:eastAsia="仿宋_GB2312"/>
          <w:bCs/>
          <w:sz w:val="32"/>
          <w:szCs w:val="32"/>
        </w:rPr>
        <w:t>我校</w:t>
      </w:r>
      <w:r>
        <w:rPr>
          <w:rFonts w:ascii="仿宋_GB2312" w:hAnsi="仿宋" w:eastAsia="仿宋_GB2312"/>
          <w:bCs/>
          <w:sz w:val="32"/>
          <w:szCs w:val="32"/>
        </w:rPr>
        <w:t>2020</w:t>
      </w:r>
      <w:r>
        <w:rPr>
          <w:rFonts w:hint="eastAsia" w:ascii="仿宋_GB2312" w:hAnsi="仿宋" w:eastAsia="仿宋_GB2312"/>
          <w:bCs/>
          <w:sz w:val="32"/>
          <w:szCs w:val="32"/>
        </w:rPr>
        <w:t>年第一、第二、第三、第四季度的预算执行率分别为</w:t>
      </w:r>
      <w:r>
        <w:rPr>
          <w:rFonts w:ascii="仿宋_GB2312" w:hAnsi="仿宋" w:eastAsia="仿宋_GB2312"/>
          <w:bCs/>
          <w:sz w:val="32"/>
          <w:szCs w:val="32"/>
        </w:rPr>
        <w:t>20.3%</w:t>
      </w:r>
      <w:r>
        <w:rPr>
          <w:rFonts w:hint="eastAsia" w:ascii="仿宋_GB2312" w:hAnsi="仿宋" w:eastAsia="仿宋_GB2312"/>
          <w:bCs/>
          <w:sz w:val="32"/>
          <w:szCs w:val="32"/>
        </w:rPr>
        <w:t>、5</w:t>
      </w:r>
      <w:r>
        <w:rPr>
          <w:rFonts w:ascii="仿宋_GB2312" w:hAnsi="仿宋" w:eastAsia="仿宋_GB2312"/>
          <w:bCs/>
          <w:sz w:val="32"/>
          <w:szCs w:val="32"/>
        </w:rPr>
        <w:t>5.8%</w:t>
      </w:r>
      <w:r>
        <w:rPr>
          <w:rFonts w:hint="eastAsia" w:ascii="仿宋_GB2312" w:hAnsi="仿宋" w:eastAsia="仿宋_GB2312"/>
          <w:bCs/>
          <w:sz w:val="32"/>
          <w:szCs w:val="32"/>
        </w:rPr>
        <w:t>、</w:t>
      </w:r>
      <w:r>
        <w:rPr>
          <w:rFonts w:ascii="仿宋_GB2312" w:hAnsi="仿宋" w:eastAsia="仿宋_GB2312"/>
          <w:bCs/>
          <w:sz w:val="32"/>
          <w:szCs w:val="32"/>
        </w:rPr>
        <w:t>82.1%</w:t>
      </w:r>
      <w:r>
        <w:rPr>
          <w:rFonts w:hint="eastAsia" w:ascii="仿宋_GB2312" w:hAnsi="仿宋" w:eastAsia="仿宋_GB2312"/>
          <w:bCs/>
          <w:sz w:val="32"/>
          <w:szCs w:val="32"/>
        </w:rPr>
        <w:t>、99.</w:t>
      </w:r>
      <w:r>
        <w:rPr>
          <w:rFonts w:ascii="仿宋_GB2312" w:hAnsi="仿宋" w:eastAsia="仿宋_GB2312"/>
          <w:bCs/>
          <w:sz w:val="32"/>
          <w:szCs w:val="32"/>
        </w:rPr>
        <w:t>8%</w:t>
      </w:r>
      <w:r>
        <w:rPr>
          <w:rFonts w:hint="eastAsia" w:ascii="仿宋_GB2312" w:hAnsi="仿宋" w:eastAsia="仿宋_GB2312"/>
          <w:bCs/>
          <w:sz w:val="32"/>
          <w:szCs w:val="32"/>
        </w:rPr>
        <w:t>，预算执行进度总体较好，但第一、第四季度序时进度未达标，且全年预算执行不均衡。</w:t>
      </w:r>
    </w:p>
    <w:p>
      <w:pPr>
        <w:ind w:firstLine="642" w:firstLineChars="200"/>
        <w:rPr>
          <w:rFonts w:ascii="仿宋_GB2312" w:hAnsi="仿宋" w:eastAsia="仿宋_GB2312"/>
          <w:b/>
          <w:bCs/>
          <w:sz w:val="32"/>
          <w:szCs w:val="32"/>
        </w:rPr>
      </w:pPr>
      <w:r>
        <w:rPr>
          <w:rFonts w:ascii="仿宋_GB2312" w:hAnsi="仿宋" w:eastAsia="仿宋_GB2312"/>
          <w:b/>
          <w:bCs/>
          <w:sz w:val="32"/>
          <w:szCs w:val="32"/>
        </w:rPr>
        <w:t>2.</w:t>
      </w:r>
      <w:r>
        <w:rPr>
          <w:rFonts w:hint="eastAsia" w:ascii="仿宋_GB2312" w:hAnsi="仿宋" w:eastAsia="仿宋_GB2312"/>
          <w:b/>
          <w:bCs/>
          <w:sz w:val="32"/>
          <w:szCs w:val="32"/>
        </w:rPr>
        <w:t>改进措施</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1）对设定的绩效目标进一步细化分解，根据学校各个业务部门的职能职责和绩效目标任务，对工作目标进一步细化分解，按岗位分工责任到人，明确要求，落实责任，形成具体的目标分解体系和责任落实体系。建立健全绩效目标责任督查和考核机制，将绩效目标完成情况与个人年度考核相结合，切实将绩效目标落实到部门、落实到岗位、落实到人员，确保各项绩效目标的实现。</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（2）进一步加强编外人员的用工管理，规范录用程序，选定专人负责编外用工事务，聘用编外人员必须提出书面申请，并由校领导会议研究决定，并上报</w:t>
      </w:r>
      <w:r>
        <w:rPr>
          <w:rFonts w:hint="eastAsia" w:ascii="仿宋_GB2312" w:hAnsi="仿宋" w:eastAsia="仿宋_GB2312"/>
          <w:bCs/>
          <w:sz w:val="32"/>
          <w:szCs w:val="32"/>
          <w:lang w:val="en-US" w:eastAsia="zh-CN"/>
        </w:rPr>
        <w:t>新</w:t>
      </w:r>
      <w:r>
        <w:rPr>
          <w:rFonts w:hint="eastAsia" w:ascii="仿宋_GB2312" w:hAnsi="仿宋" w:eastAsia="仿宋_GB2312"/>
          <w:bCs/>
          <w:sz w:val="32"/>
          <w:szCs w:val="32"/>
        </w:rPr>
        <w:t>区教育和</w:t>
      </w:r>
      <w:r>
        <w:rPr>
          <w:rFonts w:hint="eastAsia" w:ascii="仿宋_GB2312" w:hAnsi="仿宋" w:eastAsia="仿宋_GB2312"/>
          <w:bCs/>
          <w:sz w:val="32"/>
          <w:szCs w:val="32"/>
          <w:lang w:val="en-US" w:eastAsia="zh-CN"/>
        </w:rPr>
        <w:t>卫生健康</w:t>
      </w:r>
      <w:r>
        <w:rPr>
          <w:rFonts w:hint="eastAsia" w:ascii="仿宋_GB2312" w:hAnsi="仿宋" w:eastAsia="仿宋_GB2312"/>
          <w:bCs/>
          <w:sz w:val="32"/>
          <w:szCs w:val="32"/>
        </w:rPr>
        <w:t>局、区人事局审批同意。</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3）落实过紧日子思想，严控学校一般性支出预算，大力压减非重点、非刚性项目支出；进一步强化零基预算管理，大力压减一般性支出，部门一般性支出压减10%以上，取消因公出国出（境），压减公务接待经费，严格执行公务用车配备及使用管理规定，年内不再新增购置一般公务用车，公务用车运维经费只减不增。</w:t>
      </w:r>
    </w:p>
    <w:p>
      <w:pPr>
        <w:pStyle w:val="2"/>
        <w:ind w:firstLine="640" w:firstLineChars="200"/>
        <w:jc w:val="both"/>
      </w:pPr>
      <w:r>
        <w:rPr>
          <w:rFonts w:hint="eastAsia" w:ascii="仿宋_GB2312" w:hAnsi="黑体" w:eastAsia="仿宋_GB2312" w:cs="Times New Roman"/>
          <w:sz w:val="32"/>
          <w:szCs w:val="32"/>
        </w:rPr>
        <w:t>（4）进一步加强对财政资金使用的事前、事中和事后全流程监管，实时掌控预算项目资金支出进度及绩效目标完成情况，一旦发生偏离及时采取应对措施。规范财政资金使用和管理，全面梳理重点项目和重点支出，抓好支出进度，打好提前量，确保以后工作中支出进度达到任务要求。</w:t>
      </w:r>
    </w:p>
    <w:p>
      <w:pPr>
        <w:ind w:firstLine="642" w:firstLineChars="200"/>
        <w:rPr>
          <w:rFonts w:ascii="楷体" w:hAnsi="楷体" w:eastAsia="楷体"/>
          <w:b/>
          <w:bCs/>
          <w:sz w:val="32"/>
          <w:szCs w:val="32"/>
        </w:rPr>
      </w:pPr>
      <w:r>
        <w:rPr>
          <w:rFonts w:hint="eastAsia" w:ascii="楷体" w:hAnsi="楷体" w:eastAsia="楷体"/>
          <w:b/>
          <w:bCs/>
          <w:sz w:val="32"/>
          <w:szCs w:val="32"/>
        </w:rPr>
        <w:t>（三）后续工作计划、相关建议等。</w:t>
      </w:r>
    </w:p>
    <w:p>
      <w:pPr>
        <w:ind w:firstLine="640" w:firstLineChars="200"/>
        <w:rPr>
          <w:rFonts w:ascii="仿宋_GB2312" w:hAnsi="仿宋" w:eastAsia="仿宋_GB2312"/>
          <w:bCs/>
          <w:sz w:val="32"/>
          <w:szCs w:val="32"/>
        </w:rPr>
      </w:pPr>
      <w:r>
        <w:rPr>
          <w:rFonts w:ascii="仿宋_GB2312" w:hAnsi="仿宋" w:eastAsia="仿宋_GB2312"/>
          <w:bCs/>
          <w:sz w:val="32"/>
          <w:szCs w:val="32"/>
        </w:rPr>
        <w:t>1.</w:t>
      </w:r>
      <w:r>
        <w:rPr>
          <w:rFonts w:hint="eastAsia" w:ascii="仿宋_GB2312" w:hAnsi="仿宋" w:eastAsia="仿宋_GB2312"/>
          <w:bCs/>
          <w:sz w:val="32"/>
          <w:szCs w:val="32"/>
        </w:rPr>
        <w:t>加强预算绩效目标管理工作。明确预算项目绩效目标编制要求，分类别建立科学合理、细化量化、可比可测、可动态调整项目预算绩效指标体系，突出结果导向</w:t>
      </w:r>
      <w:r>
        <w:rPr>
          <w:rFonts w:ascii="仿宋_GB2312" w:hAnsi="仿宋" w:eastAsia="仿宋_GB2312"/>
          <w:bCs/>
          <w:sz w:val="32"/>
          <w:szCs w:val="32"/>
        </w:rPr>
        <w:t>,</w:t>
      </w:r>
      <w:r>
        <w:rPr>
          <w:rFonts w:hint="eastAsia" w:ascii="仿宋_GB2312" w:hAnsi="仿宋" w:eastAsia="仿宋_GB2312"/>
          <w:bCs/>
          <w:sz w:val="32"/>
          <w:szCs w:val="32"/>
        </w:rPr>
        <w:t>重点考核实绩。实施预算执行进度及目标“双监控”，保障预算项目资金支出进度及绩效目标完成情况均能实时掌控，一旦发生偏离可及时采取应对措施，保障预算项目执行有效。</w:t>
      </w:r>
    </w:p>
    <w:p>
      <w:pPr>
        <w:ind w:firstLine="640" w:firstLineChars="200"/>
        <w:rPr>
          <w:rFonts w:ascii="仿宋_GB2312" w:hAnsi="仿宋" w:eastAsia="仿宋_GB2312"/>
          <w:bCs/>
          <w:sz w:val="32"/>
          <w:szCs w:val="32"/>
        </w:rPr>
      </w:pPr>
      <w:r>
        <w:rPr>
          <w:rFonts w:ascii="仿宋_GB2312" w:hAnsi="仿宋" w:eastAsia="仿宋_GB2312"/>
          <w:bCs/>
          <w:sz w:val="32"/>
          <w:szCs w:val="32"/>
        </w:rPr>
        <w:t>2.</w:t>
      </w:r>
      <w:r>
        <w:rPr>
          <w:rFonts w:hint="eastAsia" w:ascii="仿宋_GB2312" w:hAnsi="仿宋" w:eastAsia="仿宋_GB2312"/>
          <w:bCs/>
          <w:sz w:val="32"/>
          <w:szCs w:val="32"/>
        </w:rPr>
        <w:t>继续完善预算绩效管理相关工作制度，形成绩效管理手册或者实施细则等可操作的指引文件，借助第三方专业机构力量，贯彻落实全面预算绩效管理工作，建立全过程预算绩效管理链条，将事前绩效评估、预算绩效目标管理、监控、评价以及应用各环节紧密贯通。</w:t>
      </w:r>
    </w:p>
    <w:p>
      <w:pPr>
        <w:ind w:firstLine="800" w:firstLineChars="250"/>
        <w:rPr>
          <w:rFonts w:ascii="黑体" w:hAnsi="黑体" w:eastAsia="黑体"/>
          <w:sz w:val="32"/>
          <w:szCs w:val="32"/>
        </w:rPr>
      </w:pPr>
      <w:r>
        <w:rPr>
          <w:rFonts w:hint="eastAsia" w:ascii="黑体" w:hAnsi="黑体" w:eastAsia="黑体"/>
          <w:sz w:val="32"/>
          <w:szCs w:val="32"/>
        </w:rPr>
        <w:t>四、部门整体支出绩效评价指标评分情况</w:t>
      </w:r>
    </w:p>
    <w:p>
      <w:pPr>
        <w:ind w:firstLine="640" w:firstLineChars="200"/>
        <w:rPr>
          <w:rFonts w:ascii="仿宋_GB2312" w:hAnsi="Calibri" w:eastAsia="仿宋_GB2312"/>
          <w:sz w:val="32"/>
          <w:szCs w:val="32"/>
        </w:rPr>
      </w:pPr>
      <w:r>
        <w:rPr>
          <w:rFonts w:hint="eastAsia" w:ascii="仿宋_GB2312" w:hAnsi="Calibri" w:eastAsia="仿宋_GB2312"/>
          <w:sz w:val="32"/>
          <w:szCs w:val="32"/>
        </w:rPr>
        <w:t>我校参照《部门整体支出绩效评价共性指标体系框架（</w:t>
      </w:r>
      <w:r>
        <w:rPr>
          <w:rFonts w:ascii="仿宋_GB2312" w:hAnsi="Calibri" w:eastAsia="仿宋_GB2312"/>
          <w:sz w:val="32"/>
          <w:szCs w:val="32"/>
        </w:rPr>
        <w:t>2020</w:t>
      </w:r>
      <w:r>
        <w:rPr>
          <w:rFonts w:hint="eastAsia" w:ascii="仿宋_GB2312" w:hAnsi="Calibri" w:eastAsia="仿宋_GB2312"/>
          <w:sz w:val="32"/>
          <w:szCs w:val="32"/>
        </w:rPr>
        <w:t>年度）》进行自评，总体得分95.81分，具体得分情况如下。</w:t>
      </w:r>
    </w:p>
    <w:p>
      <w:pPr>
        <w:ind w:firstLine="800" w:firstLineChars="250"/>
        <w:rPr>
          <w:rFonts w:ascii="仿宋_GB2312" w:eastAsia="仿宋_GB2312"/>
          <w:sz w:val="32"/>
          <w:szCs w:val="32"/>
        </w:rPr>
        <w:sectPr>
          <w:pgSz w:w="11906" w:h="16838"/>
          <w:pgMar w:top="1440" w:right="1800" w:bottom="1440" w:left="1800" w:header="851" w:footer="992" w:gutter="0"/>
          <w:cols w:space="425" w:num="1"/>
          <w:docGrid w:type="lines" w:linePitch="312" w:charSpace="0"/>
        </w:sectPr>
      </w:pPr>
    </w:p>
    <w:p>
      <w:pPr>
        <w:tabs>
          <w:tab w:val="center" w:pos="6979"/>
        </w:tabs>
        <w:spacing w:line="620" w:lineRule="exact"/>
        <w:jc w:val="left"/>
        <w:rPr>
          <w:rFonts w:ascii="仿宋_GB2312" w:eastAsia="仿宋_GB2312"/>
          <w:sz w:val="28"/>
          <w:szCs w:val="28"/>
        </w:rPr>
      </w:pPr>
      <w:r>
        <w:rPr>
          <w:rFonts w:hint="eastAsia" w:ascii="仿宋_GB2312" w:eastAsia="仿宋_GB2312" w:cs="仿宋_GB2312"/>
          <w:sz w:val="28"/>
          <w:szCs w:val="28"/>
        </w:rPr>
        <w:t>附件：</w:t>
      </w:r>
    </w:p>
    <w:p>
      <w:pPr>
        <w:tabs>
          <w:tab w:val="center" w:pos="6979"/>
        </w:tabs>
        <w:spacing w:line="620" w:lineRule="exact"/>
        <w:jc w:val="center"/>
        <w:rPr>
          <w:sz w:val="28"/>
          <w:szCs w:val="28"/>
        </w:rPr>
      </w:pPr>
      <w:r>
        <w:rPr>
          <w:rFonts w:hint="eastAsia" w:ascii="方正小标宋简体" w:eastAsia="方正小标宋简体" w:cs="方正小标宋简体"/>
          <w:sz w:val="30"/>
          <w:szCs w:val="30"/>
        </w:rPr>
        <w:t>部门整体支出绩效评价共性指标体系框架（</w:t>
      </w:r>
      <w:r>
        <w:rPr>
          <w:rFonts w:ascii="方正小标宋简体" w:eastAsia="方正小标宋简体" w:cs="方正小标宋简体"/>
          <w:sz w:val="30"/>
          <w:szCs w:val="30"/>
        </w:rPr>
        <w:t>20</w:t>
      </w:r>
      <w:r>
        <w:rPr>
          <w:rFonts w:hint="eastAsia" w:ascii="方正小标宋简体" w:eastAsia="方正小标宋简体" w:cs="方正小标宋简体"/>
          <w:sz w:val="30"/>
          <w:szCs w:val="30"/>
        </w:rPr>
        <w:t>20年修订）</w:t>
      </w:r>
    </w:p>
    <w:tbl>
      <w:tblPr>
        <w:tblStyle w:val="9"/>
        <w:tblW w:w="15163" w:type="dxa"/>
        <w:tblInd w:w="0" w:type="dxa"/>
        <w:tblLayout w:type="fixed"/>
        <w:tblCellMar>
          <w:top w:w="0" w:type="dxa"/>
          <w:left w:w="108" w:type="dxa"/>
          <w:bottom w:w="0" w:type="dxa"/>
          <w:right w:w="108" w:type="dxa"/>
        </w:tblCellMar>
      </w:tblPr>
      <w:tblGrid>
        <w:gridCol w:w="577"/>
        <w:gridCol w:w="567"/>
        <w:gridCol w:w="567"/>
        <w:gridCol w:w="567"/>
        <w:gridCol w:w="851"/>
        <w:gridCol w:w="567"/>
        <w:gridCol w:w="2536"/>
        <w:gridCol w:w="5812"/>
        <w:gridCol w:w="822"/>
        <w:gridCol w:w="2297"/>
      </w:tblGrid>
      <w:tr>
        <w:tblPrEx>
          <w:tblCellMar>
            <w:top w:w="0" w:type="dxa"/>
            <w:left w:w="108" w:type="dxa"/>
            <w:bottom w:w="0" w:type="dxa"/>
            <w:right w:w="108" w:type="dxa"/>
          </w:tblCellMar>
        </w:tblPrEx>
        <w:trPr>
          <w:trHeight w:val="180" w:hRule="atLeast"/>
          <w:tblHeader/>
        </w:trPr>
        <w:tc>
          <w:tcPr>
            <w:tcW w:w="3696" w:type="dxa"/>
            <w:gridSpan w:val="6"/>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评价指标</w:t>
            </w:r>
          </w:p>
        </w:tc>
        <w:tc>
          <w:tcPr>
            <w:tcW w:w="2536" w:type="dxa"/>
            <w:vMerge w:val="restart"/>
            <w:tcBorders>
              <w:top w:val="single" w:color="auto" w:sz="4" w:space="0"/>
              <w:left w:val="nil"/>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指标说明</w:t>
            </w:r>
          </w:p>
        </w:tc>
        <w:tc>
          <w:tcPr>
            <w:tcW w:w="5812" w:type="dxa"/>
            <w:vMerge w:val="restart"/>
            <w:tcBorders>
              <w:top w:val="single" w:color="auto" w:sz="4" w:space="0"/>
              <w:left w:val="nil"/>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参考评分标准</w:t>
            </w:r>
          </w:p>
        </w:tc>
        <w:tc>
          <w:tcPr>
            <w:tcW w:w="822" w:type="dxa"/>
            <w:vMerge w:val="restart"/>
            <w:tcBorders>
              <w:top w:val="single" w:color="auto" w:sz="4" w:space="0"/>
              <w:left w:val="nil"/>
              <w:right w:val="single" w:color="auto" w:sz="4" w:space="0"/>
            </w:tcBorders>
            <w:vAlign w:val="center"/>
          </w:tcPr>
          <w:p>
            <w:pPr>
              <w:spacing w:line="320" w:lineRule="exact"/>
              <w:jc w:val="center"/>
              <w:rPr>
                <w:rFonts w:ascii="黑体" w:hAnsi="黑体" w:eastAsia="黑体" w:cs="黑体"/>
                <w:kern w:val="0"/>
              </w:rPr>
            </w:pPr>
            <w:r>
              <w:rPr>
                <w:rFonts w:hint="eastAsia" w:ascii="黑体" w:hAnsi="黑体" w:eastAsia="黑体"/>
                <w:kern w:val="0"/>
                <w:szCs w:val="21"/>
              </w:rPr>
              <w:t>得分情况</w:t>
            </w:r>
          </w:p>
        </w:tc>
        <w:tc>
          <w:tcPr>
            <w:tcW w:w="2297" w:type="dxa"/>
            <w:vMerge w:val="restart"/>
            <w:tcBorders>
              <w:top w:val="single" w:color="auto" w:sz="4" w:space="0"/>
              <w:left w:val="nil"/>
              <w:right w:val="single" w:color="auto" w:sz="4" w:space="0"/>
            </w:tcBorders>
            <w:vAlign w:val="center"/>
          </w:tcPr>
          <w:p>
            <w:pPr>
              <w:spacing w:line="320" w:lineRule="exact"/>
              <w:jc w:val="center"/>
              <w:rPr>
                <w:rFonts w:ascii="黑体" w:hAnsi="黑体" w:eastAsia="黑体" w:cs="黑体"/>
                <w:kern w:val="0"/>
              </w:rPr>
            </w:pPr>
            <w:r>
              <w:rPr>
                <w:rFonts w:hint="eastAsia" w:ascii="黑体" w:hAnsi="黑体" w:eastAsia="黑体"/>
                <w:kern w:val="0"/>
                <w:szCs w:val="21"/>
              </w:rPr>
              <w:t>扣分</w:t>
            </w:r>
            <w:r>
              <w:rPr>
                <w:rFonts w:hint="eastAsia" w:ascii="黑体" w:hAnsi="黑体" w:eastAsia="黑体"/>
                <w:kern w:val="0"/>
              </w:rPr>
              <w:t>情况及整改情况说明</w:t>
            </w:r>
          </w:p>
        </w:tc>
      </w:tr>
      <w:tr>
        <w:tblPrEx>
          <w:tblCellMar>
            <w:top w:w="0" w:type="dxa"/>
            <w:left w:w="108" w:type="dxa"/>
            <w:bottom w:w="0" w:type="dxa"/>
            <w:right w:w="108" w:type="dxa"/>
          </w:tblCellMar>
        </w:tblPrEx>
        <w:trPr>
          <w:trHeight w:val="463" w:hRule="atLeast"/>
          <w:tblHeader/>
        </w:trPr>
        <w:tc>
          <w:tcPr>
            <w:tcW w:w="1144" w:type="dxa"/>
            <w:gridSpan w:val="2"/>
            <w:tcBorders>
              <w:top w:val="nil"/>
              <w:left w:val="single" w:color="auto" w:sz="4" w:space="0"/>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一级指标</w:t>
            </w:r>
          </w:p>
        </w:tc>
        <w:tc>
          <w:tcPr>
            <w:tcW w:w="1134" w:type="dxa"/>
            <w:gridSpan w:val="2"/>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二级指标</w:t>
            </w:r>
          </w:p>
        </w:tc>
        <w:tc>
          <w:tcPr>
            <w:tcW w:w="1418" w:type="dxa"/>
            <w:gridSpan w:val="2"/>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三级指标</w:t>
            </w:r>
          </w:p>
        </w:tc>
        <w:tc>
          <w:tcPr>
            <w:tcW w:w="2536" w:type="dxa"/>
            <w:vMerge w:val="continue"/>
            <w:tcBorders>
              <w:left w:val="nil"/>
              <w:right w:val="single" w:color="auto" w:sz="4" w:space="0"/>
            </w:tcBorders>
            <w:vAlign w:val="center"/>
          </w:tcPr>
          <w:p>
            <w:pPr>
              <w:spacing w:line="320" w:lineRule="exact"/>
              <w:jc w:val="center"/>
              <w:rPr>
                <w:rFonts w:ascii="黑体" w:hAnsi="黑体" w:eastAsia="黑体"/>
                <w:kern w:val="0"/>
                <w:sz w:val="15"/>
                <w:szCs w:val="15"/>
              </w:rPr>
            </w:pPr>
          </w:p>
        </w:tc>
        <w:tc>
          <w:tcPr>
            <w:tcW w:w="5812" w:type="dxa"/>
            <w:vMerge w:val="continue"/>
            <w:tcBorders>
              <w:left w:val="nil"/>
              <w:right w:val="single" w:color="auto" w:sz="4" w:space="0"/>
            </w:tcBorders>
            <w:vAlign w:val="center"/>
          </w:tcPr>
          <w:p>
            <w:pPr>
              <w:spacing w:line="320" w:lineRule="exact"/>
              <w:jc w:val="center"/>
              <w:rPr>
                <w:rFonts w:ascii="黑体" w:hAnsi="黑体" w:eastAsia="黑体"/>
                <w:kern w:val="0"/>
                <w:sz w:val="15"/>
                <w:szCs w:val="15"/>
              </w:rPr>
            </w:pPr>
          </w:p>
        </w:tc>
        <w:tc>
          <w:tcPr>
            <w:tcW w:w="822" w:type="dxa"/>
            <w:vMerge w:val="continue"/>
            <w:tcBorders>
              <w:left w:val="nil"/>
              <w:right w:val="single" w:color="auto" w:sz="4" w:space="0"/>
            </w:tcBorders>
          </w:tcPr>
          <w:p>
            <w:pPr>
              <w:spacing w:line="320" w:lineRule="exact"/>
              <w:jc w:val="center"/>
              <w:rPr>
                <w:rFonts w:ascii="黑体" w:hAnsi="黑体" w:eastAsia="黑体"/>
                <w:kern w:val="0"/>
                <w:sz w:val="15"/>
                <w:szCs w:val="15"/>
              </w:rPr>
            </w:pPr>
          </w:p>
        </w:tc>
        <w:tc>
          <w:tcPr>
            <w:tcW w:w="2297" w:type="dxa"/>
            <w:vMerge w:val="continue"/>
            <w:tcBorders>
              <w:left w:val="nil"/>
              <w:right w:val="single" w:color="auto" w:sz="4" w:space="0"/>
            </w:tcBorders>
          </w:tcPr>
          <w:p>
            <w:pPr>
              <w:spacing w:line="320" w:lineRule="exact"/>
              <w:jc w:val="center"/>
              <w:rPr>
                <w:rFonts w:ascii="黑体" w:hAnsi="黑体" w:eastAsia="黑体"/>
                <w:kern w:val="0"/>
                <w:sz w:val="15"/>
                <w:szCs w:val="15"/>
              </w:rPr>
            </w:pPr>
          </w:p>
        </w:tc>
      </w:tr>
      <w:tr>
        <w:tblPrEx>
          <w:tblCellMar>
            <w:top w:w="0" w:type="dxa"/>
            <w:left w:w="108" w:type="dxa"/>
            <w:bottom w:w="0" w:type="dxa"/>
            <w:right w:w="108" w:type="dxa"/>
          </w:tblCellMar>
        </w:tblPrEx>
        <w:trPr>
          <w:trHeight w:val="774" w:hRule="atLeast"/>
          <w:tblHeader/>
        </w:trPr>
        <w:tc>
          <w:tcPr>
            <w:tcW w:w="577" w:type="dxa"/>
            <w:tcBorders>
              <w:top w:val="nil"/>
              <w:left w:val="single" w:color="auto" w:sz="4" w:space="0"/>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名称</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参考分值</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名称</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参考分值</w:t>
            </w:r>
          </w:p>
        </w:tc>
        <w:tc>
          <w:tcPr>
            <w:tcW w:w="851"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名称</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参考分值</w:t>
            </w:r>
          </w:p>
        </w:tc>
        <w:tc>
          <w:tcPr>
            <w:tcW w:w="2536" w:type="dxa"/>
            <w:vMerge w:val="continue"/>
            <w:tcBorders>
              <w:left w:val="nil"/>
              <w:bottom w:val="single" w:color="auto" w:sz="4" w:space="0"/>
              <w:right w:val="single" w:color="auto" w:sz="4" w:space="0"/>
            </w:tcBorders>
            <w:vAlign w:val="center"/>
          </w:tcPr>
          <w:p>
            <w:pPr>
              <w:widowControl/>
              <w:spacing w:line="320" w:lineRule="exact"/>
              <w:jc w:val="center"/>
              <w:rPr>
                <w:rFonts w:ascii="黑体" w:hAnsi="黑体" w:eastAsia="黑体"/>
                <w:kern w:val="0"/>
                <w:sz w:val="15"/>
                <w:szCs w:val="15"/>
              </w:rPr>
            </w:pPr>
          </w:p>
        </w:tc>
        <w:tc>
          <w:tcPr>
            <w:tcW w:w="5812" w:type="dxa"/>
            <w:vMerge w:val="continue"/>
            <w:tcBorders>
              <w:left w:val="nil"/>
              <w:bottom w:val="single" w:color="auto" w:sz="4" w:space="0"/>
              <w:right w:val="single" w:color="auto" w:sz="4" w:space="0"/>
            </w:tcBorders>
            <w:vAlign w:val="center"/>
          </w:tcPr>
          <w:p>
            <w:pPr>
              <w:widowControl/>
              <w:spacing w:line="320" w:lineRule="exact"/>
              <w:jc w:val="center"/>
              <w:rPr>
                <w:rFonts w:ascii="黑体" w:hAnsi="黑体" w:eastAsia="黑体"/>
                <w:kern w:val="0"/>
                <w:sz w:val="15"/>
                <w:szCs w:val="15"/>
              </w:rPr>
            </w:pPr>
          </w:p>
        </w:tc>
        <w:tc>
          <w:tcPr>
            <w:tcW w:w="822" w:type="dxa"/>
            <w:vMerge w:val="continue"/>
            <w:tcBorders>
              <w:left w:val="nil"/>
              <w:bottom w:val="single" w:color="auto" w:sz="4" w:space="0"/>
              <w:right w:val="single" w:color="auto" w:sz="4" w:space="0"/>
            </w:tcBorders>
          </w:tcPr>
          <w:p>
            <w:pPr>
              <w:widowControl/>
              <w:spacing w:line="320" w:lineRule="exact"/>
              <w:jc w:val="center"/>
              <w:rPr>
                <w:rFonts w:ascii="黑体" w:hAnsi="黑体" w:eastAsia="黑体"/>
                <w:kern w:val="0"/>
                <w:szCs w:val="21"/>
              </w:rPr>
            </w:pPr>
          </w:p>
        </w:tc>
        <w:tc>
          <w:tcPr>
            <w:tcW w:w="2297" w:type="dxa"/>
            <w:vMerge w:val="continue"/>
            <w:tcBorders>
              <w:left w:val="nil"/>
              <w:bottom w:val="single" w:color="auto" w:sz="4" w:space="0"/>
              <w:right w:val="single" w:color="auto" w:sz="4" w:space="0"/>
            </w:tcBorders>
          </w:tcPr>
          <w:p>
            <w:pPr>
              <w:widowControl/>
              <w:spacing w:line="320" w:lineRule="exact"/>
              <w:jc w:val="center"/>
              <w:rPr>
                <w:rFonts w:ascii="黑体" w:hAnsi="黑体" w:eastAsia="黑体"/>
                <w:kern w:val="0"/>
                <w:szCs w:val="21"/>
              </w:rPr>
            </w:pPr>
          </w:p>
        </w:tc>
      </w:tr>
      <w:tr>
        <w:tblPrEx>
          <w:tblCellMar>
            <w:top w:w="0" w:type="dxa"/>
            <w:left w:w="108" w:type="dxa"/>
            <w:bottom w:w="0" w:type="dxa"/>
            <w:right w:w="108" w:type="dxa"/>
          </w:tblCellMar>
        </w:tblPrEx>
        <w:trPr>
          <w:trHeight w:val="3741" w:hRule="atLeast"/>
        </w:trPr>
        <w:tc>
          <w:tcPr>
            <w:tcW w:w="57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部门决策</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ascii="宋体" w:hAnsi="宋体" w:cs="宋体"/>
                <w:kern w:val="0"/>
              </w:rPr>
              <w:t>25</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预算编制</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10</w:t>
            </w:r>
          </w:p>
        </w:tc>
        <w:tc>
          <w:tcPr>
            <w:tcW w:w="851"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预算编制合理性</w:t>
            </w:r>
          </w:p>
        </w:tc>
        <w:tc>
          <w:tcPr>
            <w:tcW w:w="567"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5</w:t>
            </w:r>
          </w:p>
        </w:tc>
        <w:tc>
          <w:tcPr>
            <w:tcW w:w="2536"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部门（单位）预算的合理性，即是否符合本部门职责、是否符合</w:t>
            </w:r>
            <w:r>
              <w:rPr>
                <w:rFonts w:hint="eastAsia" w:ascii="宋体" w:hAnsi="宋体" w:cs="宋体"/>
                <w:kern w:val="0"/>
                <w:lang w:eastAsia="zh-CN"/>
              </w:rPr>
              <w:t>新区党工委、管委会</w:t>
            </w:r>
            <w:r>
              <w:rPr>
                <w:rFonts w:hint="eastAsia" w:ascii="宋体" w:hAnsi="宋体" w:cs="宋体"/>
                <w:kern w:val="0"/>
              </w:rPr>
              <w:t>的方针政策和工作要求，资金有无根据项目的轻重缓急进行分配。</w:t>
            </w:r>
          </w:p>
        </w:tc>
        <w:tc>
          <w:tcPr>
            <w:tcW w:w="5812"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ascii="宋体" w:hAnsi="宋体" w:cs="宋体"/>
                <w:kern w:val="0"/>
              </w:rPr>
              <w:t xml:space="preserve">   1.</w:t>
            </w:r>
            <w:r>
              <w:rPr>
                <w:rFonts w:hint="eastAsia" w:ascii="宋体" w:hAnsi="宋体" w:cs="宋体"/>
                <w:kern w:val="0"/>
              </w:rPr>
              <w:t>部门预算编制、分配符合本部门职责、符合</w:t>
            </w:r>
            <w:r>
              <w:rPr>
                <w:rFonts w:hint="eastAsia" w:ascii="宋体" w:hAnsi="宋体" w:cs="宋体"/>
                <w:kern w:val="0"/>
                <w:lang w:eastAsia="zh-CN"/>
              </w:rPr>
              <w:t>新区党工委、管委会</w:t>
            </w:r>
            <w:r>
              <w:rPr>
                <w:rFonts w:hint="eastAsia" w:ascii="宋体" w:hAnsi="宋体" w:cs="宋体"/>
                <w:kern w:val="0"/>
              </w:rPr>
              <w:t>方针政策和工作要求（</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部门预算资金能根据年度工作重点，在不同项目、不同用途之间合理分配（</w:t>
            </w:r>
            <w:r>
              <w:rPr>
                <w:rFonts w:ascii="宋体" w:hAnsi="宋体" w:cs="宋体"/>
                <w:kern w:val="0"/>
              </w:rPr>
              <w:t>1</w:t>
            </w:r>
            <w:r>
              <w:rPr>
                <w:rFonts w:hint="eastAsia" w:ascii="宋体" w:hAnsi="宋体" w:cs="宋体"/>
                <w:kern w:val="0"/>
              </w:rPr>
              <w:t>分）；</w:t>
            </w:r>
            <w:r>
              <w:rPr>
                <w:rFonts w:ascii="宋体" w:hAnsi="宋体" w:cs="宋体"/>
                <w:kern w:val="0"/>
              </w:rPr>
              <w:br w:type="textWrapping"/>
            </w:r>
            <w:r>
              <w:rPr>
                <w:rFonts w:ascii="宋体" w:hAnsi="宋体" w:cs="宋体"/>
                <w:kern w:val="0"/>
              </w:rPr>
              <w:t xml:space="preserve">   3.</w:t>
            </w:r>
            <w:r>
              <w:rPr>
                <w:rFonts w:hint="eastAsia" w:ascii="宋体" w:hAnsi="宋体" w:cs="宋体"/>
                <w:kern w:val="0"/>
              </w:rPr>
              <w:t>专项资金预算编制细化程度合理，未出现因年中调剂导致部门预决算差异过大问题（</w:t>
            </w:r>
            <w:r>
              <w:rPr>
                <w:rFonts w:ascii="宋体" w:hAnsi="宋体" w:cs="宋体"/>
                <w:kern w:val="0"/>
              </w:rPr>
              <w:t>1</w:t>
            </w:r>
            <w:r>
              <w:rPr>
                <w:rFonts w:hint="eastAsia" w:ascii="宋体" w:hAnsi="宋体" w:cs="宋体"/>
                <w:kern w:val="0"/>
              </w:rPr>
              <w:t>分）；</w:t>
            </w:r>
            <w:r>
              <w:rPr>
                <w:rFonts w:ascii="宋体" w:hAnsi="宋体" w:cs="宋体"/>
                <w:kern w:val="0"/>
              </w:rPr>
              <w:br w:type="textWrapping"/>
            </w:r>
            <w:r>
              <w:rPr>
                <w:rFonts w:ascii="宋体" w:hAnsi="宋体" w:cs="宋体"/>
                <w:kern w:val="0"/>
              </w:rPr>
              <w:t xml:space="preserve">   4.</w:t>
            </w:r>
            <w:r>
              <w:rPr>
                <w:rFonts w:hint="eastAsia" w:ascii="宋体" w:hAnsi="宋体" w:cs="宋体"/>
                <w:kern w:val="0"/>
              </w:rPr>
              <w:t>功能分类和经济分类编制准确，年度中间无大量调剂，未发生项目之间频繁调剂（</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5.</w:t>
            </w:r>
            <w:r>
              <w:rPr>
                <w:rFonts w:hint="eastAsia" w:ascii="宋体" w:hAnsi="宋体" w:cs="宋体"/>
                <w:kern w:val="0"/>
              </w:rPr>
              <w:t>部门预算分配不固化，能根据实际情况合理调整，不存在项目支出进度慢、完成率低、绩效较差，但连年持续安排预算等不合理的情况（</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5</w:t>
            </w:r>
          </w:p>
        </w:tc>
        <w:tc>
          <w:tcPr>
            <w:tcW w:w="2297" w:type="dxa"/>
            <w:tcBorders>
              <w:top w:val="nil"/>
              <w:left w:val="nil"/>
              <w:bottom w:val="single" w:color="auto" w:sz="4" w:space="0"/>
              <w:right w:val="single" w:color="auto" w:sz="4" w:space="0"/>
            </w:tcBorders>
          </w:tcPr>
          <w:p>
            <w:pPr>
              <w:widowControl/>
              <w:spacing w:line="300" w:lineRule="exact"/>
              <w:ind w:firstLine="105" w:firstLineChars="50"/>
              <w:jc w:val="left"/>
              <w:rPr>
                <w:rFonts w:ascii="宋体" w:hAnsi="宋体" w:cs="宋体"/>
                <w:kern w:val="0"/>
              </w:rPr>
            </w:pPr>
          </w:p>
        </w:tc>
      </w:tr>
      <w:tr>
        <w:tblPrEx>
          <w:tblCellMar>
            <w:top w:w="0" w:type="dxa"/>
            <w:left w:w="108" w:type="dxa"/>
            <w:bottom w:w="0" w:type="dxa"/>
            <w:right w:w="108" w:type="dxa"/>
          </w:tblCellMar>
        </w:tblPrEx>
        <w:trPr>
          <w:trHeight w:val="1689"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预算编制规范性</w:t>
            </w:r>
          </w:p>
        </w:tc>
        <w:tc>
          <w:tcPr>
            <w:tcW w:w="567"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5</w:t>
            </w:r>
          </w:p>
        </w:tc>
        <w:tc>
          <w:tcPr>
            <w:tcW w:w="2536"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部门（单位）预算编制是否符合</w:t>
            </w:r>
            <w:r>
              <w:rPr>
                <w:rFonts w:hint="eastAsia" w:ascii="宋体" w:hAnsi="宋体" w:cs="宋体"/>
                <w:kern w:val="0"/>
                <w:lang w:val="en-US" w:eastAsia="zh-Hans"/>
              </w:rPr>
              <w:t>新区发展和财政局</w:t>
            </w:r>
            <w:r>
              <w:rPr>
                <w:rFonts w:hint="eastAsia" w:ascii="宋体" w:hAnsi="宋体" w:cs="宋体"/>
                <w:kern w:val="0"/>
              </w:rPr>
              <w:t>当年度关于预算编制在规范性、完整性、细化程度等方面的原则和要求。</w:t>
            </w:r>
          </w:p>
        </w:tc>
        <w:tc>
          <w:tcPr>
            <w:tcW w:w="5812" w:type="dxa"/>
            <w:tcBorders>
              <w:top w:val="nil"/>
              <w:left w:val="nil"/>
              <w:bottom w:val="single" w:color="auto" w:sz="4" w:space="0"/>
              <w:right w:val="single" w:color="auto" w:sz="4" w:space="0"/>
            </w:tcBorders>
          </w:tcPr>
          <w:p>
            <w:pPr>
              <w:widowControl/>
              <w:spacing w:line="300" w:lineRule="exact"/>
              <w:ind w:firstLine="315" w:firstLineChars="150"/>
              <w:jc w:val="left"/>
              <w:rPr>
                <w:rFonts w:ascii="宋体"/>
                <w:kern w:val="0"/>
              </w:rPr>
            </w:pPr>
            <w:r>
              <w:rPr>
                <w:rFonts w:ascii="宋体" w:hAnsi="宋体" w:cs="宋体"/>
                <w:kern w:val="0"/>
              </w:rPr>
              <w:t>1.</w:t>
            </w:r>
            <w:r>
              <w:rPr>
                <w:rFonts w:hint="eastAsia" w:ascii="宋体" w:hAnsi="宋体" w:cs="宋体"/>
                <w:kern w:val="0"/>
              </w:rPr>
              <w:t>部门（单位）预算编制符合</w:t>
            </w:r>
            <w:r>
              <w:rPr>
                <w:rFonts w:hint="eastAsia" w:ascii="宋体" w:hAnsi="宋体" w:cs="宋体"/>
                <w:kern w:val="0"/>
                <w:lang w:val="en-US" w:eastAsia="zh-Hans"/>
              </w:rPr>
              <w:t>新区发展和财政局</w:t>
            </w:r>
            <w:r>
              <w:rPr>
                <w:rFonts w:hint="eastAsia" w:ascii="宋体" w:hAnsi="宋体" w:cs="宋体"/>
                <w:kern w:val="0"/>
              </w:rPr>
              <w:t>当年度关于预算编制的各项原则和要求，符合专项资金预算编制、项目库管理、新增项目事前绩效评估等要求（</w:t>
            </w:r>
            <w:r>
              <w:rPr>
                <w:rFonts w:ascii="宋体" w:hAnsi="宋体" w:cs="宋体"/>
                <w:kern w:val="0"/>
              </w:rPr>
              <w:t>5</w:t>
            </w:r>
            <w:r>
              <w:rPr>
                <w:rFonts w:hint="eastAsia" w:ascii="宋体" w:hAnsi="宋体" w:cs="宋体"/>
                <w:kern w:val="0"/>
              </w:rPr>
              <w:t>分）；</w:t>
            </w:r>
          </w:p>
          <w:p>
            <w:pPr>
              <w:widowControl/>
              <w:spacing w:line="300" w:lineRule="exact"/>
              <w:ind w:firstLine="315" w:firstLineChars="150"/>
              <w:jc w:val="left"/>
              <w:rPr>
                <w:rFonts w:ascii="宋体"/>
                <w:kern w:val="0"/>
              </w:rPr>
            </w:pPr>
            <w:r>
              <w:rPr>
                <w:rFonts w:ascii="宋体" w:hAnsi="宋体" w:cs="宋体"/>
                <w:kern w:val="0"/>
              </w:rPr>
              <w:t>2.</w:t>
            </w:r>
            <w:r>
              <w:rPr>
                <w:rFonts w:hint="eastAsia" w:ascii="宋体" w:hAnsi="宋体" w:cs="宋体"/>
                <w:kern w:val="0"/>
              </w:rPr>
              <w:t>发现一项不符合的扣</w:t>
            </w:r>
            <w:r>
              <w:rPr>
                <w:rFonts w:ascii="宋体" w:hAnsi="宋体" w:cs="宋体"/>
                <w:kern w:val="0"/>
              </w:rPr>
              <w:t>1</w:t>
            </w:r>
            <w:r>
              <w:rPr>
                <w:rFonts w:hint="eastAsia" w:ascii="宋体" w:hAnsi="宋体" w:cs="宋体"/>
                <w:kern w:val="0"/>
              </w:rPr>
              <w:t>分，扣完为止。</w:t>
            </w:r>
          </w:p>
          <w:p>
            <w:pPr>
              <w:widowControl/>
              <w:spacing w:line="300" w:lineRule="exact"/>
              <w:ind w:firstLine="315" w:firstLineChars="150"/>
              <w:jc w:val="left"/>
              <w:rPr>
                <w:rFonts w:ascii="宋体"/>
                <w:kern w:val="0"/>
              </w:rPr>
            </w:pPr>
            <w:r>
              <w:rPr>
                <w:rFonts w:hint="eastAsia" w:ascii="宋体" w:hAnsi="宋体" w:cs="宋体"/>
                <w:kern w:val="0"/>
              </w:rPr>
              <w:t>本指标需对照相应年度由</w:t>
            </w:r>
            <w:r>
              <w:rPr>
                <w:rFonts w:hint="eastAsia" w:ascii="宋体" w:hAnsi="宋体" w:cs="宋体"/>
                <w:kern w:val="0"/>
                <w:lang w:val="en-US" w:eastAsia="zh-Hans"/>
              </w:rPr>
              <w:t>新区发展和财政局</w:t>
            </w:r>
            <w:r>
              <w:rPr>
                <w:rFonts w:hint="eastAsia" w:ascii="宋体" w:hAnsi="宋体" w:cs="宋体"/>
                <w:kern w:val="0"/>
              </w:rPr>
              <w:t>印发的部门预算编制工作方案、通知和有关制度文件，根据实际情况评分。</w:t>
            </w:r>
          </w:p>
        </w:tc>
        <w:tc>
          <w:tcPr>
            <w:tcW w:w="82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5</w:t>
            </w:r>
          </w:p>
        </w:tc>
        <w:tc>
          <w:tcPr>
            <w:tcW w:w="2297" w:type="dxa"/>
            <w:tcBorders>
              <w:top w:val="nil"/>
              <w:left w:val="nil"/>
              <w:bottom w:val="single" w:color="auto" w:sz="4" w:space="0"/>
              <w:right w:val="single" w:color="auto" w:sz="4" w:space="0"/>
            </w:tcBorders>
          </w:tcPr>
          <w:p>
            <w:pPr>
              <w:widowControl/>
              <w:spacing w:line="300" w:lineRule="exact"/>
              <w:ind w:firstLine="315" w:firstLineChars="150"/>
              <w:jc w:val="left"/>
              <w:rPr>
                <w:rFonts w:ascii="宋体" w:hAnsi="宋体" w:cs="宋体"/>
                <w:kern w:val="0"/>
              </w:rPr>
            </w:pPr>
          </w:p>
        </w:tc>
      </w:tr>
      <w:tr>
        <w:tblPrEx>
          <w:tblCellMar>
            <w:top w:w="0" w:type="dxa"/>
            <w:left w:w="108" w:type="dxa"/>
            <w:bottom w:w="0" w:type="dxa"/>
            <w:right w:w="108" w:type="dxa"/>
          </w:tblCellMar>
        </w:tblPrEx>
        <w:trPr>
          <w:trHeight w:val="1621"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目标设置</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15</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绩效目标完整性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8</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部门（单位）是否按要求编报项目绩效目标，是否依据充分、内容完整、覆盖全面、符合实际。</w:t>
            </w:r>
          </w:p>
        </w:tc>
        <w:tc>
          <w:tcPr>
            <w:tcW w:w="5812"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ascii="宋体" w:hAnsi="宋体" w:cs="宋体"/>
                <w:kern w:val="0"/>
              </w:rPr>
              <w:t xml:space="preserve">   1.</w:t>
            </w:r>
            <w:r>
              <w:rPr>
                <w:rFonts w:hint="eastAsia" w:ascii="宋体" w:hAnsi="宋体" w:cs="宋体"/>
                <w:kern w:val="0"/>
              </w:rPr>
              <w:t>部门（单位）按要求编报部门整体和项目的绩效目标，实现绩效目标全覆盖（</w:t>
            </w:r>
            <w:r>
              <w:rPr>
                <w:rFonts w:ascii="宋体" w:hAnsi="宋体" w:cs="宋体"/>
                <w:kern w:val="0"/>
              </w:rPr>
              <w:t>8</w:t>
            </w:r>
            <w:r>
              <w:rPr>
                <w:rFonts w:hint="eastAsia" w:ascii="宋体" w:hAnsi="宋体" w:cs="宋体"/>
                <w:kern w:val="0"/>
              </w:rPr>
              <w:t>分）；</w:t>
            </w:r>
          </w:p>
          <w:p>
            <w:pPr>
              <w:widowControl/>
              <w:spacing w:line="320" w:lineRule="exact"/>
              <w:ind w:firstLine="315" w:firstLineChars="150"/>
              <w:rPr>
                <w:rFonts w:ascii="宋体"/>
                <w:kern w:val="0"/>
              </w:rPr>
            </w:pPr>
            <w:r>
              <w:rPr>
                <w:rFonts w:ascii="宋体" w:hAnsi="宋体" w:cs="宋体"/>
                <w:kern w:val="0"/>
              </w:rPr>
              <w:t>2.</w:t>
            </w:r>
            <w:r>
              <w:rPr>
                <w:rFonts w:hint="eastAsia" w:ascii="宋体" w:hAnsi="宋体" w:cs="宋体"/>
                <w:kern w:val="0"/>
              </w:rPr>
              <w:t>没按要求编报绩效目标或绩效目标不符合要求的，一项扣</w:t>
            </w:r>
            <w:r>
              <w:rPr>
                <w:rFonts w:ascii="宋体" w:hAnsi="宋体" w:cs="宋体"/>
                <w:kern w:val="0"/>
              </w:rPr>
              <w:t>1</w:t>
            </w:r>
            <w:r>
              <w:rPr>
                <w:rFonts w:hint="eastAsia" w:ascii="宋体" w:hAnsi="宋体" w:cs="宋体"/>
                <w:kern w:val="0"/>
              </w:rPr>
              <w:t>分，扣完为止。</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8</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p>
        </w:tc>
      </w:tr>
      <w:tr>
        <w:tblPrEx>
          <w:tblCellMar>
            <w:top w:w="0" w:type="dxa"/>
            <w:left w:w="108" w:type="dxa"/>
            <w:bottom w:w="0" w:type="dxa"/>
            <w:right w:w="108" w:type="dxa"/>
          </w:tblCellMar>
        </w:tblPrEx>
        <w:trPr>
          <w:trHeight w:val="1419"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绩效指标明确性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7</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部门（单位）设定的绩效指标是否清晰、细化、可量化，用以反映和考核部门（单位）整体绩效目标的明细化情况。</w:t>
            </w:r>
          </w:p>
        </w:tc>
        <w:tc>
          <w:tcPr>
            <w:tcW w:w="5812" w:type="dxa"/>
            <w:tcBorders>
              <w:top w:val="nil"/>
              <w:left w:val="nil"/>
              <w:bottom w:val="single" w:color="auto" w:sz="4" w:space="0"/>
              <w:right w:val="single" w:color="auto" w:sz="4" w:space="0"/>
            </w:tcBorders>
            <w:vAlign w:val="center"/>
          </w:tcPr>
          <w:p>
            <w:pPr>
              <w:widowControl/>
              <w:spacing w:line="320" w:lineRule="exact"/>
              <w:ind w:firstLine="420" w:firstLineChars="200"/>
              <w:rPr>
                <w:rFonts w:ascii="宋体"/>
                <w:kern w:val="0"/>
              </w:rPr>
            </w:pPr>
            <w:r>
              <w:rPr>
                <w:rFonts w:ascii="宋体" w:hAnsi="宋体" w:cs="宋体"/>
                <w:kern w:val="0"/>
              </w:rPr>
              <w:t>1.</w:t>
            </w:r>
            <w:r>
              <w:rPr>
                <w:rFonts w:hint="eastAsia" w:ascii="宋体" w:hAnsi="宋体" w:cs="宋体"/>
                <w:kern w:val="0"/>
              </w:rPr>
              <w:t>绩效指标将部门整体绩效目标细化分解为具体工作任务，与部门年度任务数或计划数相对应（</w:t>
            </w:r>
            <w:r>
              <w:rPr>
                <w:rFonts w:ascii="宋体" w:hAnsi="宋体" w:cs="宋体"/>
                <w:kern w:val="0"/>
              </w:rPr>
              <w:t>2</w:t>
            </w:r>
            <w:r>
              <w:rPr>
                <w:rFonts w:hint="eastAsia" w:ascii="宋体" w:hAnsi="宋体" w:cs="宋体"/>
                <w:kern w:val="0"/>
              </w:rPr>
              <w:t>分）；</w:t>
            </w:r>
          </w:p>
          <w:p>
            <w:pPr>
              <w:widowControl/>
              <w:spacing w:line="320" w:lineRule="exact"/>
              <w:ind w:firstLine="420" w:firstLineChars="200"/>
              <w:rPr>
                <w:rFonts w:ascii="宋体"/>
                <w:kern w:val="0"/>
              </w:rPr>
            </w:pPr>
            <w:r>
              <w:rPr>
                <w:rFonts w:ascii="宋体" w:hAnsi="宋体" w:cs="宋体"/>
                <w:kern w:val="0"/>
              </w:rPr>
              <w:t>2.</w:t>
            </w:r>
            <w:r>
              <w:rPr>
                <w:rFonts w:hint="eastAsia" w:ascii="宋体" w:hAnsi="宋体" w:cs="宋体"/>
                <w:kern w:val="0"/>
              </w:rPr>
              <w:t>绩效指标中包含能够明确体现部门（单位）履职效果的社会、经济、生态效益指标（</w:t>
            </w:r>
            <w:r>
              <w:rPr>
                <w:rFonts w:ascii="宋体" w:hAnsi="宋体" w:cs="宋体"/>
                <w:kern w:val="0"/>
              </w:rPr>
              <w:t>2</w:t>
            </w:r>
            <w:r>
              <w:rPr>
                <w:rFonts w:hint="eastAsia" w:ascii="宋体" w:hAnsi="宋体" w:cs="宋体"/>
                <w:kern w:val="0"/>
              </w:rPr>
              <w:t>分）；</w:t>
            </w:r>
            <w:r>
              <w:rPr>
                <w:rFonts w:ascii="宋体"/>
                <w:kern w:val="0"/>
              </w:rPr>
              <w:br w:type="textWrapping"/>
            </w:r>
            <w:r>
              <w:rPr>
                <w:rFonts w:ascii="宋体" w:hAnsi="宋体" w:cs="宋体"/>
                <w:kern w:val="0"/>
              </w:rPr>
              <w:t xml:space="preserve">    3.</w:t>
            </w:r>
            <w:r>
              <w:rPr>
                <w:rFonts w:hint="eastAsia" w:ascii="宋体" w:hAnsi="宋体" w:cs="宋体"/>
                <w:kern w:val="0"/>
              </w:rPr>
              <w:t>绩效指标具有清晰、可衡量的指标值（</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4</w:t>
            </w:r>
            <w:r>
              <w:rPr>
                <w:rFonts w:ascii="宋体" w:cs="宋体"/>
                <w:kern w:val="0"/>
              </w:rPr>
              <w:t>.</w:t>
            </w:r>
            <w:r>
              <w:rPr>
                <w:rFonts w:hint="eastAsia" w:ascii="宋体" w:hAnsi="宋体" w:cs="宋体"/>
                <w:kern w:val="0"/>
              </w:rPr>
              <w:t>绩效指标包含可量化的指标（</w:t>
            </w:r>
            <w:r>
              <w:rPr>
                <w:rFonts w:ascii="宋体" w:hAnsi="宋体" w:cs="宋体"/>
                <w:kern w:val="0"/>
              </w:rPr>
              <w:t>1</w:t>
            </w:r>
            <w:r>
              <w:rPr>
                <w:rFonts w:hint="eastAsia" w:ascii="宋体" w:hAnsi="宋体" w:cs="宋体"/>
                <w:kern w:val="0"/>
              </w:rPr>
              <w:t>分）；</w:t>
            </w:r>
          </w:p>
          <w:p>
            <w:pPr>
              <w:widowControl/>
              <w:spacing w:line="320" w:lineRule="exact"/>
              <w:rPr>
                <w:rFonts w:ascii="宋体"/>
                <w:kern w:val="0"/>
              </w:rPr>
            </w:pPr>
            <w:r>
              <w:rPr>
                <w:rFonts w:ascii="宋体" w:hAnsi="宋体" w:cs="宋体"/>
                <w:kern w:val="0"/>
              </w:rPr>
              <w:t xml:space="preserve">    5</w:t>
            </w:r>
            <w:r>
              <w:rPr>
                <w:rFonts w:ascii="宋体" w:cs="宋体"/>
                <w:kern w:val="0"/>
              </w:rPr>
              <w:t>.</w:t>
            </w:r>
            <w:r>
              <w:rPr>
                <w:rFonts w:hint="eastAsia" w:ascii="宋体" w:hAnsi="宋体" w:cs="宋体"/>
                <w:kern w:val="0"/>
              </w:rPr>
              <w:t>绩效目标的目标值测算能提供相关依据或符合客观实际情况（</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6</w:t>
            </w:r>
          </w:p>
        </w:tc>
        <w:tc>
          <w:tcPr>
            <w:tcW w:w="2297" w:type="dxa"/>
            <w:tcBorders>
              <w:top w:val="nil"/>
              <w:left w:val="nil"/>
              <w:bottom w:val="single" w:color="auto" w:sz="4" w:space="0"/>
              <w:right w:val="single" w:color="auto" w:sz="4" w:space="0"/>
            </w:tcBorders>
          </w:tcPr>
          <w:p>
            <w:pPr>
              <w:widowControl/>
              <w:spacing w:line="320" w:lineRule="exact"/>
            </w:pPr>
            <w:r>
              <w:rPr>
                <w:rFonts w:hint="eastAsia"/>
              </w:rPr>
              <w:t>扣分原因：部门整体绩效目标细化分解略有不清晰。</w:t>
            </w:r>
          </w:p>
          <w:p>
            <w:pPr>
              <w:pStyle w:val="2"/>
              <w:ind w:firstLine="0" w:firstLineChars="0"/>
              <w:jc w:val="both"/>
            </w:pPr>
            <w:r>
              <w:rPr>
                <w:rFonts w:hint="eastAsia" w:ascii="宋体" w:hAnsi="宋体" w:cs="宋体"/>
                <w:kern w:val="0"/>
              </w:rPr>
              <w:t>改进措施：落实责任，按照工作目标进一步细化分解；建立健全绩效目标责任督查和考核机制。</w:t>
            </w:r>
          </w:p>
        </w:tc>
      </w:tr>
      <w:tr>
        <w:tblPrEx>
          <w:tblCellMar>
            <w:top w:w="0" w:type="dxa"/>
            <w:left w:w="108" w:type="dxa"/>
            <w:bottom w:w="0" w:type="dxa"/>
            <w:right w:w="108" w:type="dxa"/>
          </w:tblCellMar>
        </w:tblPrEx>
        <w:trPr>
          <w:trHeight w:val="1359" w:hRule="atLeast"/>
        </w:trPr>
        <w:tc>
          <w:tcPr>
            <w:tcW w:w="57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部门管理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ascii="宋体" w:hAnsi="宋体" w:cs="宋体"/>
                <w:kern w:val="0"/>
              </w:rPr>
              <w:t>20</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资金管理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8</w:t>
            </w:r>
          </w:p>
        </w:tc>
        <w:tc>
          <w:tcPr>
            <w:tcW w:w="851"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政府采购执行情况</w:t>
            </w:r>
          </w:p>
        </w:tc>
        <w:tc>
          <w:tcPr>
            <w:tcW w:w="567"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2536" w:type="dxa"/>
            <w:tcBorders>
              <w:top w:val="single" w:color="auto" w:sz="4" w:space="0"/>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部门（单位）本年度实际政府采购金额与年度政府采购预算的比率，用以反映和考核部门（单位）政府采购预算执行情况；政府采购政策功能的执行和落实情况。</w:t>
            </w:r>
          </w:p>
        </w:tc>
        <w:tc>
          <w:tcPr>
            <w:tcW w:w="5812" w:type="dxa"/>
            <w:tcBorders>
              <w:top w:val="single" w:color="auto" w:sz="4" w:space="0"/>
              <w:left w:val="nil"/>
              <w:bottom w:val="single" w:color="auto" w:sz="4" w:space="0"/>
              <w:right w:val="single" w:color="auto" w:sz="4" w:space="0"/>
            </w:tcBorders>
            <w:vAlign w:val="center"/>
          </w:tcPr>
          <w:p>
            <w:pPr>
              <w:widowControl/>
              <w:spacing w:line="320" w:lineRule="exact"/>
              <w:ind w:firstLine="405"/>
              <w:rPr>
                <w:rFonts w:ascii="宋体"/>
                <w:kern w:val="0"/>
              </w:rPr>
            </w:pPr>
            <w:r>
              <w:rPr>
                <w:rFonts w:ascii="宋体" w:hAnsi="宋体" w:cs="宋体"/>
                <w:kern w:val="0"/>
              </w:rPr>
              <w:t>1.</w:t>
            </w:r>
            <w:r>
              <w:rPr>
                <w:rFonts w:hint="eastAsia" w:ascii="宋体" w:hAnsi="宋体" w:cs="宋体"/>
                <w:kern w:val="0"/>
              </w:rPr>
              <w:t>政府采购执行率得分</w:t>
            </w:r>
            <w:r>
              <w:rPr>
                <w:rFonts w:ascii="宋体" w:hAnsi="宋体" w:cs="宋体"/>
                <w:kern w:val="0"/>
              </w:rPr>
              <w:t>=</w:t>
            </w:r>
            <w:r>
              <w:rPr>
                <w:rFonts w:hint="eastAsia" w:ascii="宋体" w:hAnsi="宋体" w:cs="宋体"/>
                <w:kern w:val="0"/>
              </w:rPr>
              <w:t>政府采购执行率×</w:t>
            </w:r>
            <w:r>
              <w:rPr>
                <w:rFonts w:ascii="宋体" w:hAnsi="宋体" w:cs="宋体"/>
                <w:kern w:val="0"/>
              </w:rPr>
              <w:t>1</w:t>
            </w:r>
            <w:r>
              <w:rPr>
                <w:rFonts w:hint="eastAsia" w:ascii="宋体" w:hAnsi="宋体" w:cs="宋体"/>
                <w:kern w:val="0"/>
              </w:rPr>
              <w:t>分</w:t>
            </w:r>
            <w:r>
              <w:rPr>
                <w:rFonts w:ascii="宋体"/>
                <w:kern w:val="0"/>
              </w:rPr>
              <w:br w:type="textWrapping"/>
            </w:r>
            <w:r>
              <w:rPr>
                <w:rFonts w:hint="eastAsia" w:ascii="宋体" w:hAnsi="宋体" w:cs="宋体"/>
                <w:kern w:val="0"/>
              </w:rPr>
              <w:t>政府采购执行率</w:t>
            </w:r>
            <w:r>
              <w:rPr>
                <w:rFonts w:ascii="宋体" w:hAnsi="宋体" w:cs="宋体"/>
                <w:kern w:val="0"/>
              </w:rPr>
              <w:t>=</w:t>
            </w:r>
            <w:r>
              <w:rPr>
                <w:rFonts w:hint="eastAsia" w:ascii="宋体" w:hAnsi="宋体" w:cs="宋体"/>
                <w:kern w:val="0"/>
              </w:rPr>
              <w:t>（实际采购金额合计数</w:t>
            </w:r>
            <w:r>
              <w:rPr>
                <w:rFonts w:ascii="宋体" w:hAnsi="宋体" w:cs="宋体"/>
                <w:kern w:val="0"/>
              </w:rPr>
              <w:t>/</w:t>
            </w:r>
            <w:r>
              <w:rPr>
                <w:rFonts w:hint="eastAsia" w:ascii="宋体" w:hAnsi="宋体" w:cs="宋体"/>
                <w:kern w:val="0"/>
              </w:rPr>
              <w:t>采购计划金额合计数）×</w:t>
            </w:r>
            <w:r>
              <w:rPr>
                <w:rFonts w:ascii="宋体" w:hAnsi="宋体" w:cs="宋体"/>
                <w:kern w:val="0"/>
              </w:rPr>
              <w:t>100%</w:t>
            </w:r>
            <w:r>
              <w:rPr>
                <w:rFonts w:ascii="宋体" w:hAnsi="宋体" w:cs="宋体"/>
                <w:kern w:val="0"/>
              </w:rPr>
              <w:br w:type="textWrapping"/>
            </w:r>
            <w:r>
              <w:rPr>
                <w:rFonts w:hint="eastAsia" w:ascii="宋体" w:hAnsi="宋体" w:cs="宋体"/>
                <w:kern w:val="0"/>
              </w:rPr>
              <w:t>如实际采购金额大于采购计划金额，本项得</w:t>
            </w:r>
            <w:r>
              <w:rPr>
                <w:rFonts w:ascii="宋体" w:cs="宋体"/>
                <w:kern w:val="0"/>
              </w:rPr>
              <w:t>0</w:t>
            </w:r>
            <w:r>
              <w:rPr>
                <w:rFonts w:hint="eastAsia" w:ascii="宋体" w:hAnsi="宋体" w:cs="宋体"/>
                <w:kern w:val="0"/>
              </w:rPr>
              <w:t>分。</w:t>
            </w:r>
            <w:r>
              <w:rPr>
                <w:rFonts w:ascii="宋体"/>
                <w:kern w:val="0"/>
              </w:rPr>
              <w:br w:type="textWrapping"/>
            </w:r>
            <w:r>
              <w:rPr>
                <w:rFonts w:hint="eastAsia" w:ascii="宋体" w:hAnsi="宋体" w:cs="宋体"/>
                <w:kern w:val="0"/>
              </w:rPr>
              <w:t>政府采购预算是指采购机关根据事业发展计划和行政任务编制的</w:t>
            </w:r>
            <w:r>
              <w:rPr>
                <w:rFonts w:hint="eastAsia" w:ascii="宋体" w:hAnsi="宋体" w:cs="宋体"/>
                <w:kern w:val="0"/>
                <w:lang w:eastAsia="zh-CN"/>
              </w:rPr>
              <w:t>，</w:t>
            </w:r>
            <w:r>
              <w:rPr>
                <w:rFonts w:hint="eastAsia" w:ascii="宋体" w:hAnsi="宋体" w:cs="宋体"/>
                <w:kern w:val="0"/>
              </w:rPr>
              <w:t>并经过规定程序批准的年度政府采购计划。</w:t>
            </w:r>
          </w:p>
          <w:p>
            <w:pPr>
              <w:widowControl/>
              <w:spacing w:line="320" w:lineRule="exact"/>
              <w:ind w:firstLine="405"/>
              <w:rPr>
                <w:rFonts w:ascii="宋体"/>
                <w:kern w:val="0"/>
              </w:rPr>
            </w:pPr>
            <w:r>
              <w:rPr>
                <w:rFonts w:ascii="宋体" w:hAnsi="宋体" w:cs="宋体"/>
                <w:kern w:val="0"/>
              </w:rPr>
              <w:t>2.</w:t>
            </w:r>
            <w:r>
              <w:rPr>
                <w:rFonts w:hint="eastAsia" w:ascii="宋体" w:hAnsi="宋体" w:cs="宋体"/>
                <w:kern w:val="0"/>
              </w:rPr>
              <w:t>政府采购政策功能的执行和落实情况（</w:t>
            </w:r>
            <w:r>
              <w:rPr>
                <w:rFonts w:ascii="宋体" w:hAnsi="宋体" w:cs="宋体"/>
                <w:kern w:val="0"/>
              </w:rPr>
              <w:t>1</w:t>
            </w:r>
            <w:r>
              <w:rPr>
                <w:rFonts w:hint="eastAsia" w:ascii="宋体" w:hAnsi="宋体" w:cs="宋体"/>
                <w:kern w:val="0"/>
              </w:rPr>
              <w:t>分），落实不到位的酌情扣分。</w:t>
            </w:r>
          </w:p>
        </w:tc>
        <w:tc>
          <w:tcPr>
            <w:tcW w:w="822"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2</w:t>
            </w:r>
          </w:p>
        </w:tc>
        <w:tc>
          <w:tcPr>
            <w:tcW w:w="2297" w:type="dxa"/>
            <w:tcBorders>
              <w:top w:val="single" w:color="auto" w:sz="4" w:space="0"/>
              <w:left w:val="nil"/>
              <w:bottom w:val="single" w:color="auto" w:sz="4" w:space="0"/>
              <w:right w:val="single" w:color="auto" w:sz="4" w:space="0"/>
            </w:tcBorders>
          </w:tcPr>
          <w:p>
            <w:pPr>
              <w:widowControl/>
              <w:spacing w:line="320" w:lineRule="exact"/>
              <w:ind w:firstLine="405"/>
              <w:rPr>
                <w:rFonts w:ascii="宋体" w:hAnsi="宋体" w:cs="宋体"/>
                <w:kern w:val="0"/>
              </w:rPr>
            </w:pPr>
          </w:p>
        </w:tc>
      </w:tr>
      <w:tr>
        <w:tblPrEx>
          <w:tblCellMar>
            <w:top w:w="0" w:type="dxa"/>
            <w:left w:w="108" w:type="dxa"/>
            <w:bottom w:w="0" w:type="dxa"/>
            <w:right w:w="108" w:type="dxa"/>
          </w:tblCellMar>
        </w:tblPrEx>
        <w:trPr>
          <w:trHeight w:val="1819"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财务合规性</w:t>
            </w:r>
          </w:p>
        </w:tc>
        <w:tc>
          <w:tcPr>
            <w:tcW w:w="567"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2536" w:type="dxa"/>
            <w:tcBorders>
              <w:top w:val="single" w:color="auto" w:sz="4" w:space="0"/>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资金支出规范性，包括资金管理、费用支出等制度是否严格执行；资金调整、调剂是否规范；会计核算是否规范、是否存在支出依据不合规、虚列项目支出的情况；是否存在截留、挤占、挪用项目资金情况。</w:t>
            </w:r>
          </w:p>
        </w:tc>
        <w:tc>
          <w:tcPr>
            <w:tcW w:w="5812" w:type="dxa"/>
            <w:tcBorders>
              <w:top w:val="single" w:color="auto" w:sz="4" w:space="0"/>
              <w:left w:val="nil"/>
              <w:bottom w:val="single" w:color="auto" w:sz="4" w:space="0"/>
              <w:right w:val="single" w:color="auto" w:sz="4" w:space="0"/>
            </w:tcBorders>
            <w:vAlign w:val="center"/>
          </w:tcPr>
          <w:p>
            <w:pPr>
              <w:widowControl/>
              <w:spacing w:line="320" w:lineRule="exact"/>
              <w:ind w:firstLine="420"/>
              <w:rPr>
                <w:rFonts w:ascii="宋体"/>
                <w:kern w:val="0"/>
              </w:rPr>
            </w:pPr>
            <w:r>
              <w:rPr>
                <w:rFonts w:ascii="宋体" w:hAnsi="宋体" w:cs="宋体"/>
                <w:kern w:val="0"/>
              </w:rPr>
              <w:t>1.</w:t>
            </w:r>
            <w:r>
              <w:rPr>
                <w:rFonts w:hint="eastAsia" w:ascii="宋体" w:hAnsi="宋体" w:cs="宋体"/>
                <w:kern w:val="0"/>
              </w:rPr>
              <w:t>资金支出规范性（</w:t>
            </w:r>
            <w:r>
              <w:rPr>
                <w:rFonts w:ascii="宋体" w:hAnsi="宋体" w:cs="宋体"/>
                <w:kern w:val="0"/>
              </w:rPr>
              <w:t>1</w:t>
            </w:r>
            <w:r>
              <w:rPr>
                <w:rFonts w:hint="eastAsia" w:ascii="宋体" w:hAnsi="宋体" w:cs="宋体"/>
                <w:kern w:val="0"/>
              </w:rPr>
              <w:t>分）。资金管理、费用标准、支付符合有关制度规定，按事项完成进度支付资金的，得</w:t>
            </w:r>
            <w:r>
              <w:rPr>
                <w:rFonts w:ascii="宋体" w:hAnsi="宋体" w:cs="宋体"/>
                <w:kern w:val="0"/>
              </w:rPr>
              <w:t>1</w:t>
            </w:r>
            <w:r>
              <w:rPr>
                <w:rFonts w:hint="eastAsia" w:ascii="宋体" w:hAnsi="宋体" w:cs="宋体"/>
                <w:kern w:val="0"/>
              </w:rPr>
              <w:t>分，否则酌情扣分。</w:t>
            </w:r>
            <w:r>
              <w:rPr>
                <w:rFonts w:ascii="宋体"/>
                <w:kern w:val="0"/>
              </w:rPr>
              <w:br w:type="textWrapping"/>
            </w:r>
            <w:r>
              <w:rPr>
                <w:rFonts w:ascii="宋体" w:hAnsi="宋体" w:cs="宋体"/>
                <w:kern w:val="0"/>
              </w:rPr>
              <w:t xml:space="preserve">    2.</w:t>
            </w:r>
            <w:r>
              <w:rPr>
                <w:rFonts w:hint="eastAsia" w:ascii="宋体" w:hAnsi="宋体" w:cs="宋体"/>
                <w:kern w:val="0"/>
              </w:rPr>
              <w:t>资金调整、调剂规范性（</w:t>
            </w:r>
            <w:r>
              <w:rPr>
                <w:rFonts w:ascii="宋体" w:hAnsi="宋体" w:cs="宋体"/>
                <w:kern w:val="0"/>
              </w:rPr>
              <w:t>1</w:t>
            </w:r>
            <w:r>
              <w:rPr>
                <w:rFonts w:hint="eastAsia" w:ascii="宋体" w:hAnsi="宋体" w:cs="宋体"/>
                <w:kern w:val="0"/>
              </w:rPr>
              <w:t>分）。调整、调剂资金累计在本单位部门预算总规模</w:t>
            </w:r>
            <w:r>
              <w:rPr>
                <w:rFonts w:ascii="宋体" w:hAnsi="宋体" w:cs="宋体"/>
                <w:kern w:val="0"/>
              </w:rPr>
              <w:t>10%</w:t>
            </w:r>
            <w:r>
              <w:rPr>
                <w:rFonts w:hint="eastAsia" w:ascii="宋体" w:hAnsi="宋体" w:cs="宋体"/>
                <w:kern w:val="0"/>
              </w:rPr>
              <w:t>以内的，得</w:t>
            </w:r>
            <w:r>
              <w:rPr>
                <w:rFonts w:ascii="宋体" w:hAnsi="宋体" w:cs="宋体"/>
                <w:kern w:val="0"/>
              </w:rPr>
              <w:t>1</w:t>
            </w:r>
            <w:r>
              <w:rPr>
                <w:rFonts w:hint="eastAsia" w:ascii="宋体" w:hAnsi="宋体" w:cs="宋体"/>
                <w:kern w:val="0"/>
              </w:rPr>
              <w:t>分；超出</w:t>
            </w:r>
            <w:r>
              <w:rPr>
                <w:rFonts w:ascii="宋体" w:hAnsi="宋体" w:cs="宋体"/>
                <w:kern w:val="0"/>
              </w:rPr>
              <w:t>10%</w:t>
            </w:r>
            <w:r>
              <w:rPr>
                <w:rFonts w:hint="eastAsia" w:ascii="宋体" w:hAnsi="宋体" w:cs="宋体"/>
                <w:kern w:val="0"/>
              </w:rPr>
              <w:t>的，超出一个百分点扣</w:t>
            </w:r>
            <w:r>
              <w:rPr>
                <w:rFonts w:ascii="宋体" w:hAnsi="宋体" w:cs="宋体"/>
                <w:kern w:val="0"/>
              </w:rPr>
              <w:t>0.1</w:t>
            </w:r>
            <w:r>
              <w:rPr>
                <w:rFonts w:hint="eastAsia" w:ascii="宋体" w:hAnsi="宋体" w:cs="宋体"/>
                <w:kern w:val="0"/>
              </w:rPr>
              <w:t>分，直至</w:t>
            </w:r>
            <w:r>
              <w:rPr>
                <w:rFonts w:ascii="宋体" w:hAnsi="宋体" w:cs="宋体"/>
                <w:kern w:val="0"/>
              </w:rPr>
              <w:t>1</w:t>
            </w:r>
            <w:r>
              <w:rPr>
                <w:rFonts w:hint="eastAsia" w:ascii="宋体" w:hAnsi="宋体" w:cs="宋体"/>
                <w:kern w:val="0"/>
              </w:rPr>
              <w:t>分扣完为止。</w:t>
            </w:r>
          </w:p>
          <w:p>
            <w:pPr>
              <w:widowControl/>
              <w:spacing w:line="320" w:lineRule="exact"/>
              <w:ind w:firstLine="420" w:firstLineChars="200"/>
              <w:rPr>
                <w:rFonts w:ascii="宋体"/>
                <w:kern w:val="0"/>
              </w:rPr>
            </w:pPr>
            <w:r>
              <w:rPr>
                <w:rFonts w:ascii="宋体" w:hAnsi="宋体" w:cs="宋体"/>
                <w:kern w:val="0"/>
              </w:rPr>
              <w:t>3.</w:t>
            </w:r>
            <w:r>
              <w:rPr>
                <w:rFonts w:hint="eastAsia" w:ascii="宋体" w:hAnsi="宋体" w:cs="宋体"/>
                <w:kern w:val="0"/>
              </w:rPr>
              <w:t>会计核算规范性（</w:t>
            </w:r>
            <w:r>
              <w:rPr>
                <w:rFonts w:ascii="宋体" w:hAnsi="宋体" w:cs="宋体"/>
                <w:kern w:val="0"/>
              </w:rPr>
              <w:t>1</w:t>
            </w:r>
            <w:r>
              <w:rPr>
                <w:rFonts w:hint="eastAsia" w:ascii="宋体" w:hAnsi="宋体" w:cs="宋体"/>
                <w:kern w:val="0"/>
              </w:rPr>
              <w:t>分）。规范执行会计核算制度得</w:t>
            </w:r>
            <w:r>
              <w:rPr>
                <w:rFonts w:ascii="宋体" w:hAnsi="宋体" w:cs="宋体"/>
                <w:kern w:val="0"/>
              </w:rPr>
              <w:t>1</w:t>
            </w:r>
            <w:r>
              <w:rPr>
                <w:rFonts w:hint="eastAsia" w:ascii="宋体" w:hAnsi="宋体" w:cs="宋体"/>
                <w:kern w:val="0"/>
              </w:rPr>
              <w:t>分，未按规定设专账核算、支出凭证不符合规定或其他核算不规范，酌情扣分。</w:t>
            </w:r>
          </w:p>
          <w:p>
            <w:pPr>
              <w:widowControl/>
              <w:spacing w:line="320" w:lineRule="exact"/>
              <w:ind w:firstLine="420"/>
              <w:rPr>
                <w:rFonts w:ascii="宋体"/>
                <w:kern w:val="0"/>
              </w:rPr>
            </w:pPr>
            <w:r>
              <w:rPr>
                <w:rFonts w:ascii="宋体" w:hAnsi="宋体" w:cs="宋体"/>
                <w:kern w:val="0"/>
              </w:rPr>
              <w:t>4.</w:t>
            </w:r>
            <w:r>
              <w:rPr>
                <w:rFonts w:hint="eastAsia" w:ascii="宋体" w:hAnsi="宋体" w:cs="宋体"/>
                <w:kern w:val="0"/>
              </w:rPr>
              <w:t>发生超范围、超标准支出，虚列支出，截留、挤占、挪用资金的，以及其他不符合制度规定支出，本项指标得</w:t>
            </w:r>
            <w:r>
              <w:rPr>
                <w:rFonts w:ascii="宋体" w:cs="宋体"/>
                <w:kern w:val="0"/>
              </w:rPr>
              <w:t>0</w:t>
            </w:r>
            <w:r>
              <w:rPr>
                <w:rFonts w:hint="eastAsia" w:ascii="宋体" w:hAnsi="宋体" w:cs="宋体"/>
                <w:kern w:val="0"/>
              </w:rPr>
              <w:t>分。</w:t>
            </w:r>
          </w:p>
        </w:tc>
        <w:tc>
          <w:tcPr>
            <w:tcW w:w="822"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3</w:t>
            </w:r>
          </w:p>
        </w:tc>
        <w:tc>
          <w:tcPr>
            <w:tcW w:w="2297" w:type="dxa"/>
            <w:tcBorders>
              <w:top w:val="single" w:color="auto" w:sz="4" w:space="0"/>
              <w:left w:val="nil"/>
              <w:bottom w:val="single" w:color="auto" w:sz="4" w:space="0"/>
              <w:right w:val="single" w:color="auto" w:sz="4" w:space="0"/>
            </w:tcBorders>
          </w:tcPr>
          <w:p>
            <w:pPr>
              <w:widowControl/>
              <w:spacing w:line="320" w:lineRule="exact"/>
              <w:rPr>
                <w:rFonts w:ascii="宋体" w:hAnsi="宋体" w:cs="宋体"/>
                <w:kern w:val="0"/>
              </w:rPr>
            </w:pPr>
          </w:p>
        </w:tc>
      </w:tr>
      <w:tr>
        <w:tblPrEx>
          <w:tblCellMar>
            <w:top w:w="0" w:type="dxa"/>
            <w:left w:w="108" w:type="dxa"/>
            <w:bottom w:w="0" w:type="dxa"/>
            <w:right w:w="108" w:type="dxa"/>
          </w:tblCellMar>
        </w:tblPrEx>
        <w:trPr>
          <w:trHeight w:val="4298"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预决算信息公开</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部门（单位）在被评价年度是否按照政府信息公开有关规定公开相关预决算信息，用以反映部门（单位）预决算管理的公开透明情况。</w:t>
            </w:r>
          </w:p>
        </w:tc>
        <w:tc>
          <w:tcPr>
            <w:tcW w:w="5812" w:type="dxa"/>
            <w:tcBorders>
              <w:top w:val="nil"/>
              <w:left w:val="nil"/>
              <w:bottom w:val="single" w:color="auto" w:sz="4" w:space="0"/>
              <w:right w:val="single" w:color="auto" w:sz="4" w:space="0"/>
            </w:tcBorders>
            <w:vAlign w:val="center"/>
          </w:tcPr>
          <w:p>
            <w:pPr>
              <w:ind w:firstLine="420" w:firstLineChars="200"/>
              <w:rPr>
                <w:rFonts w:ascii="宋体" w:hAnsi="宋体"/>
              </w:rPr>
            </w:pPr>
            <w:r>
              <w:rPr>
                <w:rFonts w:ascii="宋体" w:hAnsi="宋体"/>
              </w:rPr>
              <w:t>1.</w:t>
            </w:r>
            <w:r>
              <w:rPr>
                <w:rFonts w:hint="eastAsia" w:ascii="宋体" w:hAnsi="宋体"/>
              </w:rPr>
              <w:t>部门预算公开（</w:t>
            </w:r>
            <w:r>
              <w:rPr>
                <w:rFonts w:ascii="宋体" w:hAnsi="宋体"/>
              </w:rPr>
              <w:t>1.5</w:t>
            </w:r>
            <w:r>
              <w:rPr>
                <w:rFonts w:hint="eastAsia" w:ascii="宋体" w:hAnsi="宋体"/>
              </w:rPr>
              <w:t>分），按以下标准分档计分：</w:t>
            </w:r>
            <w:r>
              <w:rPr>
                <w:rFonts w:ascii="宋体" w:hAnsi="宋体"/>
              </w:rPr>
              <w:br w:type="textWrapping"/>
            </w:r>
            <w:r>
              <w:rPr>
                <w:rFonts w:hint="eastAsia" w:ascii="宋体" w:hAnsi="宋体"/>
              </w:rPr>
              <w:t>（</w:t>
            </w:r>
            <w:r>
              <w:rPr>
                <w:rFonts w:ascii="宋体" w:hAnsi="宋体"/>
              </w:rPr>
              <w:t>1</w:t>
            </w:r>
            <w:r>
              <w:rPr>
                <w:rFonts w:hint="eastAsia" w:ascii="宋体" w:hAnsi="宋体"/>
              </w:rPr>
              <w:t>）按规定内容、时限、范围等各项要求进行公开的，得</w:t>
            </w:r>
            <w:r>
              <w:rPr>
                <w:rFonts w:ascii="宋体" w:hAnsi="宋体"/>
              </w:rPr>
              <w:t>1.5</w:t>
            </w:r>
            <w:r>
              <w:rPr>
                <w:rFonts w:hint="eastAsia" w:ascii="宋体" w:hAnsi="宋体"/>
              </w:rPr>
              <w:t>分。</w:t>
            </w:r>
            <w:r>
              <w:rPr>
                <w:rFonts w:ascii="宋体" w:hAnsi="宋体"/>
              </w:rPr>
              <w:br w:type="textWrapping"/>
            </w:r>
            <w:r>
              <w:rPr>
                <w:rFonts w:hint="eastAsia" w:ascii="宋体" w:hAnsi="宋体"/>
              </w:rPr>
              <w:t>（</w:t>
            </w:r>
            <w:r>
              <w:rPr>
                <w:rFonts w:ascii="宋体" w:hAnsi="宋体"/>
              </w:rPr>
              <w:t>2</w:t>
            </w:r>
            <w:r>
              <w:rPr>
                <w:rFonts w:hint="eastAsia" w:ascii="宋体" w:hAnsi="宋体"/>
              </w:rPr>
              <w:t>）进行了公开，存在不符合时限、内容、范围等要求的，得</w:t>
            </w:r>
            <w:r>
              <w:rPr>
                <w:rFonts w:ascii="宋体" w:hAnsi="宋体"/>
              </w:rPr>
              <w:t>1</w:t>
            </w:r>
            <w:r>
              <w:rPr>
                <w:rFonts w:hint="eastAsia" w:ascii="宋体" w:hAnsi="宋体"/>
              </w:rPr>
              <w:t>分。</w:t>
            </w:r>
            <w:r>
              <w:rPr>
                <w:rFonts w:ascii="宋体" w:hAnsi="宋体"/>
              </w:rPr>
              <w:br w:type="textWrapping"/>
            </w:r>
            <w:r>
              <w:rPr>
                <w:rFonts w:hint="eastAsia" w:ascii="宋体" w:hAnsi="宋体"/>
              </w:rPr>
              <w:t>（</w:t>
            </w:r>
            <w:r>
              <w:rPr>
                <w:rFonts w:ascii="宋体" w:hAnsi="宋体"/>
              </w:rPr>
              <w:t>3</w:t>
            </w:r>
            <w:r>
              <w:rPr>
                <w:rFonts w:hint="eastAsia" w:ascii="宋体" w:hAnsi="宋体"/>
              </w:rPr>
              <w:t>）没有进行公开的，得</w:t>
            </w:r>
            <w:r>
              <w:rPr>
                <w:rFonts w:ascii="宋体" w:hAnsi="宋体"/>
              </w:rPr>
              <w:t>0</w:t>
            </w:r>
            <w:r>
              <w:rPr>
                <w:rFonts w:hint="eastAsia" w:ascii="宋体" w:hAnsi="宋体"/>
              </w:rPr>
              <w:t>分。</w:t>
            </w:r>
            <w:r>
              <w:rPr>
                <w:rFonts w:ascii="宋体" w:hAnsi="宋体"/>
              </w:rPr>
              <w:br w:type="textWrapping"/>
            </w:r>
            <w:r>
              <w:rPr>
                <w:rFonts w:ascii="宋体" w:hAnsi="宋体"/>
              </w:rPr>
              <w:t xml:space="preserve">    2.</w:t>
            </w:r>
            <w:r>
              <w:rPr>
                <w:rFonts w:hint="eastAsia" w:ascii="宋体" w:hAnsi="宋体"/>
              </w:rPr>
              <w:t>部门决算公开（</w:t>
            </w:r>
            <w:r>
              <w:rPr>
                <w:rFonts w:ascii="宋体" w:hAnsi="宋体"/>
              </w:rPr>
              <w:t>1.5</w:t>
            </w:r>
            <w:r>
              <w:rPr>
                <w:rFonts w:hint="eastAsia" w:ascii="宋体" w:hAnsi="宋体"/>
              </w:rPr>
              <w:t>分），按以下标准分档计分：</w:t>
            </w:r>
            <w:r>
              <w:rPr>
                <w:rFonts w:ascii="宋体" w:hAnsi="宋体"/>
              </w:rPr>
              <w:br w:type="textWrapping"/>
            </w:r>
            <w:r>
              <w:rPr>
                <w:rFonts w:hint="eastAsia" w:ascii="宋体" w:hAnsi="宋体"/>
              </w:rPr>
              <w:t>（</w:t>
            </w:r>
            <w:r>
              <w:rPr>
                <w:rFonts w:ascii="宋体" w:hAnsi="宋体"/>
              </w:rPr>
              <w:t>1</w:t>
            </w:r>
            <w:r>
              <w:rPr>
                <w:rFonts w:hint="eastAsia" w:ascii="宋体" w:hAnsi="宋体"/>
              </w:rPr>
              <w:t>）按规定内容、时限、范围等各项要求进行公开的，得</w:t>
            </w:r>
            <w:r>
              <w:rPr>
                <w:rFonts w:ascii="宋体" w:hAnsi="宋体"/>
              </w:rPr>
              <w:t>1.5</w:t>
            </w:r>
            <w:r>
              <w:rPr>
                <w:rFonts w:hint="eastAsia" w:ascii="宋体" w:hAnsi="宋体"/>
              </w:rPr>
              <w:t>分。</w:t>
            </w:r>
            <w:r>
              <w:rPr>
                <w:rFonts w:ascii="宋体" w:hAnsi="宋体"/>
              </w:rPr>
              <w:br w:type="textWrapping"/>
            </w:r>
            <w:r>
              <w:rPr>
                <w:rFonts w:hint="eastAsia" w:ascii="宋体" w:hAnsi="宋体"/>
              </w:rPr>
              <w:t>（</w:t>
            </w:r>
            <w:r>
              <w:rPr>
                <w:rFonts w:ascii="宋体" w:hAnsi="宋体"/>
              </w:rPr>
              <w:t>2</w:t>
            </w:r>
            <w:r>
              <w:rPr>
                <w:rFonts w:hint="eastAsia" w:ascii="宋体" w:hAnsi="宋体"/>
              </w:rPr>
              <w:t>）进行了公开，存在不符合时限、内容、范围等要求的，得</w:t>
            </w:r>
            <w:r>
              <w:rPr>
                <w:rFonts w:ascii="宋体" w:hAnsi="宋体"/>
              </w:rPr>
              <w:t>1</w:t>
            </w:r>
            <w:r>
              <w:rPr>
                <w:rFonts w:hint="eastAsia" w:ascii="宋体" w:hAnsi="宋体"/>
              </w:rPr>
              <w:t>分。</w:t>
            </w:r>
            <w:r>
              <w:rPr>
                <w:rFonts w:ascii="宋体" w:hAnsi="宋体"/>
              </w:rPr>
              <w:br w:type="textWrapping"/>
            </w:r>
            <w:r>
              <w:rPr>
                <w:rFonts w:hint="eastAsia" w:ascii="宋体" w:hAnsi="宋体"/>
              </w:rPr>
              <w:t>（</w:t>
            </w:r>
            <w:r>
              <w:rPr>
                <w:rFonts w:ascii="宋体" w:hAnsi="宋体"/>
              </w:rPr>
              <w:t>3</w:t>
            </w:r>
            <w:r>
              <w:rPr>
                <w:rFonts w:hint="eastAsia" w:ascii="宋体" w:hAnsi="宋体"/>
              </w:rPr>
              <w:t>）没有进行公开的，得</w:t>
            </w:r>
            <w:r>
              <w:rPr>
                <w:rFonts w:ascii="宋体" w:hAnsi="宋体"/>
              </w:rPr>
              <w:t>0</w:t>
            </w:r>
            <w:r>
              <w:rPr>
                <w:rFonts w:hint="eastAsia" w:ascii="宋体" w:hAnsi="宋体"/>
              </w:rPr>
              <w:t>分。</w:t>
            </w:r>
          </w:p>
          <w:p>
            <w:pPr>
              <w:rPr>
                <w:rFonts w:ascii="宋体" w:hAnsi="宋体"/>
              </w:rPr>
            </w:pPr>
            <w:r>
              <w:rPr>
                <w:rFonts w:ascii="宋体" w:hAnsi="宋体"/>
              </w:rPr>
              <w:t xml:space="preserve">    3.</w:t>
            </w:r>
            <w:r>
              <w:rPr>
                <w:rFonts w:hint="eastAsia" w:ascii="宋体" w:hAnsi="宋体"/>
              </w:rPr>
              <w:t>涉密部门（单位）按规定不需要公开相关预决算信息的直接得分。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3</w:t>
            </w:r>
          </w:p>
        </w:tc>
        <w:tc>
          <w:tcPr>
            <w:tcW w:w="2297" w:type="dxa"/>
            <w:tcBorders>
              <w:top w:val="nil"/>
              <w:left w:val="nil"/>
              <w:bottom w:val="single" w:color="auto" w:sz="4" w:space="0"/>
              <w:right w:val="single" w:color="auto" w:sz="4" w:space="0"/>
            </w:tcBorders>
          </w:tcPr>
          <w:p>
            <w:pPr>
              <w:widowControl/>
              <w:spacing w:line="320" w:lineRule="exact"/>
              <w:ind w:firstLine="405"/>
              <w:rPr>
                <w:rFonts w:ascii="宋体" w:hAnsi="宋体" w:cs="宋体"/>
                <w:kern w:val="0"/>
              </w:rPr>
            </w:pPr>
          </w:p>
        </w:tc>
      </w:tr>
      <w:tr>
        <w:tblPrEx>
          <w:tblCellMar>
            <w:top w:w="0" w:type="dxa"/>
            <w:left w:w="108" w:type="dxa"/>
            <w:bottom w:w="0" w:type="dxa"/>
            <w:right w:w="108" w:type="dxa"/>
          </w:tblCellMar>
        </w:tblPrEx>
        <w:trPr>
          <w:trHeight w:val="1491"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项目管理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4</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项目实施程序</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部门（单位）所有项目支出实施过程是否规范</w:t>
            </w:r>
            <w:r>
              <w:rPr>
                <w:rFonts w:ascii="宋体" w:cs="宋体"/>
                <w:kern w:val="0"/>
              </w:rPr>
              <w:t>,</w:t>
            </w:r>
            <w:r>
              <w:rPr>
                <w:rFonts w:hint="eastAsia" w:ascii="宋体" w:hAnsi="宋体" w:cs="宋体"/>
                <w:kern w:val="0"/>
              </w:rPr>
              <w:t>包括是否符合申报条件；申报、批复程序是否符合相关管理办法；项目招投标、调整、完成验收等是否履行相应手续等。</w:t>
            </w:r>
          </w:p>
        </w:tc>
        <w:tc>
          <w:tcPr>
            <w:tcW w:w="5812"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ascii="宋体" w:hAnsi="宋体" w:cs="宋体"/>
                <w:kern w:val="0"/>
              </w:rPr>
              <w:t xml:space="preserve">    1.</w:t>
            </w:r>
            <w:r>
              <w:rPr>
                <w:rFonts w:hint="eastAsia" w:ascii="宋体" w:hAnsi="宋体" w:cs="宋体"/>
                <w:kern w:val="0"/>
              </w:rPr>
              <w:t>项目的设立、调整按规定履行报批程序（</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项目招投标、建设、验收以及方案实施均严格执行相关制度规定（</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2</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p>
        </w:tc>
      </w:tr>
      <w:tr>
        <w:tblPrEx>
          <w:tblCellMar>
            <w:top w:w="0" w:type="dxa"/>
            <w:left w:w="108" w:type="dxa"/>
            <w:bottom w:w="0" w:type="dxa"/>
            <w:right w:w="108" w:type="dxa"/>
          </w:tblCellMar>
        </w:tblPrEx>
        <w:trPr>
          <w:trHeight w:val="1527"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项目</w:t>
            </w:r>
          </w:p>
          <w:p>
            <w:pPr>
              <w:widowControl/>
              <w:spacing w:line="320" w:lineRule="exact"/>
              <w:jc w:val="left"/>
              <w:rPr>
                <w:rFonts w:ascii="宋体"/>
                <w:kern w:val="0"/>
              </w:rPr>
            </w:pPr>
            <w:r>
              <w:rPr>
                <w:rFonts w:hint="eastAsia" w:ascii="宋体" w:hAnsi="宋体" w:cs="宋体"/>
                <w:kern w:val="0"/>
              </w:rPr>
              <w:t>监管</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部门（单位）对所实施项目（包括部门主管的专项资金和专项经费分配给区级各部门实施的项目）的检查、监控、督促整改等管理情况。</w:t>
            </w:r>
          </w:p>
        </w:tc>
        <w:tc>
          <w:tcPr>
            <w:tcW w:w="5812" w:type="dxa"/>
            <w:tcBorders>
              <w:top w:val="nil"/>
              <w:left w:val="nil"/>
              <w:bottom w:val="single" w:color="auto" w:sz="4" w:space="0"/>
              <w:right w:val="single" w:color="auto" w:sz="4" w:space="0"/>
            </w:tcBorders>
            <w:vAlign w:val="center"/>
          </w:tcPr>
          <w:p>
            <w:pPr>
              <w:widowControl/>
              <w:spacing w:line="320" w:lineRule="exact"/>
              <w:ind w:firstLine="420"/>
              <w:rPr>
                <w:rFonts w:ascii="宋体"/>
                <w:kern w:val="0"/>
              </w:rPr>
            </w:pPr>
            <w:r>
              <w:rPr>
                <w:rFonts w:ascii="宋体" w:hAnsi="宋体" w:cs="宋体"/>
                <w:kern w:val="0"/>
              </w:rPr>
              <w:t>1.</w:t>
            </w:r>
            <w:r>
              <w:rPr>
                <w:rFonts w:hint="eastAsia" w:ascii="宋体" w:hAnsi="宋体" w:cs="宋体"/>
                <w:kern w:val="0"/>
              </w:rPr>
              <w:t>资金使用单位、基层资金管理单位建立有效资金管理和绩效运行监控机制，且执行情况良好（</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各主管部门按规定对主管的财政资金（含专项资金和专项经费）开展有效的检查、监控、督促整改（</w:t>
            </w:r>
            <w:r>
              <w:rPr>
                <w:rFonts w:ascii="宋体" w:hAnsi="宋体" w:cs="宋体"/>
                <w:kern w:val="0"/>
              </w:rPr>
              <w:t>1</w:t>
            </w:r>
            <w:r>
              <w:rPr>
                <w:rFonts w:hint="eastAsia" w:ascii="宋体" w:hAnsi="宋体" w:cs="宋体"/>
                <w:kern w:val="0"/>
              </w:rPr>
              <w:t>分），如无法提供开展检查监督相关证明材料，或被评价年度部门主管的专项资金绩效评价结果为差的，得</w:t>
            </w:r>
            <w:r>
              <w:rPr>
                <w:rFonts w:ascii="宋体" w:cs="宋体"/>
                <w:kern w:val="0"/>
              </w:rPr>
              <w:t>0</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2</w:t>
            </w:r>
          </w:p>
        </w:tc>
        <w:tc>
          <w:tcPr>
            <w:tcW w:w="2297" w:type="dxa"/>
            <w:tcBorders>
              <w:top w:val="nil"/>
              <w:left w:val="nil"/>
              <w:bottom w:val="single" w:color="auto" w:sz="4" w:space="0"/>
              <w:right w:val="single" w:color="auto" w:sz="4" w:space="0"/>
            </w:tcBorders>
          </w:tcPr>
          <w:p>
            <w:pPr>
              <w:widowControl/>
              <w:spacing w:line="320" w:lineRule="exact"/>
              <w:ind w:firstLine="420"/>
              <w:rPr>
                <w:rFonts w:ascii="宋体" w:hAnsi="宋体" w:cs="宋体"/>
                <w:kern w:val="0"/>
              </w:rPr>
            </w:pPr>
          </w:p>
        </w:tc>
      </w:tr>
      <w:tr>
        <w:tblPrEx>
          <w:tblCellMar>
            <w:top w:w="0" w:type="dxa"/>
            <w:left w:w="108" w:type="dxa"/>
            <w:bottom w:w="0" w:type="dxa"/>
            <w:right w:w="108" w:type="dxa"/>
          </w:tblCellMar>
        </w:tblPrEx>
        <w:trPr>
          <w:trHeight w:val="1369"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资产管理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资产管理安全性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部门（单位）的资产是否保存完整、使用合规、配置合理、处置规范、收入及时足额上缴，用于反映和考核部门（单位）资产安全运行情况。</w:t>
            </w:r>
          </w:p>
        </w:tc>
        <w:tc>
          <w:tcPr>
            <w:tcW w:w="5812"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ascii="宋体" w:hAnsi="宋体" w:cs="宋体"/>
                <w:kern w:val="0"/>
              </w:rPr>
              <w:t xml:space="preserve">    1.</w:t>
            </w:r>
            <w:r>
              <w:rPr>
                <w:rFonts w:hint="eastAsia" w:ascii="宋体" w:hAnsi="宋体" w:cs="宋体"/>
                <w:kern w:val="0"/>
              </w:rPr>
              <w:t>资产配置合理、保管完整，账实相符（</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资产处置规范，有偿使用及处置收入及时足额上缴（</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2</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p>
        </w:tc>
      </w:tr>
      <w:tr>
        <w:tblPrEx>
          <w:tblCellMar>
            <w:top w:w="0" w:type="dxa"/>
            <w:left w:w="108" w:type="dxa"/>
            <w:bottom w:w="0" w:type="dxa"/>
            <w:right w:w="108" w:type="dxa"/>
          </w:tblCellMar>
        </w:tblPrEx>
        <w:trPr>
          <w:trHeight w:val="1314"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固定资产利用率</w:t>
            </w:r>
          </w:p>
        </w:tc>
        <w:tc>
          <w:tcPr>
            <w:tcW w:w="567"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1</w:t>
            </w:r>
          </w:p>
        </w:tc>
        <w:tc>
          <w:tcPr>
            <w:tcW w:w="2536"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部门（单位）实际在用固定资产总额与所有固定资产总额的比例，用以反映和考核部门（单位）固定资产使用效率程度。</w:t>
            </w:r>
          </w:p>
        </w:tc>
        <w:tc>
          <w:tcPr>
            <w:tcW w:w="5812" w:type="dxa"/>
            <w:tcBorders>
              <w:top w:val="nil"/>
              <w:left w:val="nil"/>
              <w:bottom w:val="single" w:color="auto" w:sz="4" w:space="0"/>
              <w:right w:val="single" w:color="auto" w:sz="4" w:space="0"/>
            </w:tcBorders>
            <w:vAlign w:val="center"/>
          </w:tcPr>
          <w:p>
            <w:pPr>
              <w:widowControl/>
              <w:spacing w:line="300" w:lineRule="exact"/>
              <w:ind w:firstLine="420" w:firstLineChars="200"/>
              <w:rPr>
                <w:rFonts w:ascii="宋体" w:hAnsi="宋体" w:cs="宋体"/>
                <w:kern w:val="0"/>
              </w:rPr>
            </w:pPr>
            <w:r>
              <w:rPr>
                <w:rFonts w:hint="eastAsia" w:ascii="宋体" w:hAnsi="宋体" w:cs="宋体"/>
                <w:kern w:val="0"/>
              </w:rPr>
              <w:t>固定资产利用率</w:t>
            </w:r>
            <w:r>
              <w:rPr>
                <w:rFonts w:ascii="宋体" w:hAnsi="宋体" w:cs="宋体"/>
                <w:kern w:val="0"/>
              </w:rPr>
              <w:t>=</w:t>
            </w:r>
            <w:r>
              <w:rPr>
                <w:rFonts w:hint="eastAsia" w:ascii="宋体" w:hAnsi="宋体" w:cs="宋体"/>
                <w:kern w:val="0"/>
              </w:rPr>
              <w:t>（实际在用固定资产总额</w:t>
            </w:r>
            <w:r>
              <w:rPr>
                <w:rFonts w:ascii="宋体" w:hAnsi="宋体" w:cs="宋体"/>
                <w:kern w:val="0"/>
              </w:rPr>
              <w:t>/</w:t>
            </w:r>
            <w:r>
              <w:rPr>
                <w:rFonts w:hint="eastAsia" w:ascii="宋体" w:hAnsi="宋体" w:cs="宋体"/>
                <w:kern w:val="0"/>
              </w:rPr>
              <w:t>所有固定资产总额）×</w:t>
            </w:r>
            <w:r>
              <w:rPr>
                <w:rFonts w:ascii="宋体" w:hAnsi="宋体" w:cs="宋体"/>
                <w:kern w:val="0"/>
              </w:rPr>
              <w:t xml:space="preserve">100%    </w:t>
            </w:r>
          </w:p>
          <w:p>
            <w:pPr>
              <w:widowControl/>
              <w:spacing w:line="300" w:lineRule="exact"/>
              <w:ind w:firstLine="420" w:firstLineChars="200"/>
              <w:rPr>
                <w:rFonts w:ascii="宋体"/>
                <w:kern w:val="0"/>
              </w:rPr>
            </w:pPr>
            <w:r>
              <w:rPr>
                <w:rFonts w:ascii="宋体" w:hAnsi="宋体" w:cs="宋体"/>
                <w:kern w:val="0"/>
              </w:rPr>
              <w:t>1.</w:t>
            </w:r>
            <w:r>
              <w:rPr>
                <w:rFonts w:hint="eastAsia" w:ascii="宋体" w:hAnsi="宋体" w:cs="宋体"/>
                <w:kern w:val="0"/>
              </w:rPr>
              <w:t>固定资产利用率≥</w:t>
            </w:r>
            <w:r>
              <w:rPr>
                <w:rFonts w:ascii="宋体" w:hAnsi="宋体" w:cs="宋体"/>
                <w:kern w:val="0"/>
              </w:rPr>
              <w:t>90%</w:t>
            </w:r>
            <w:r>
              <w:rPr>
                <w:rFonts w:hint="eastAsia" w:ascii="宋体" w:hAnsi="宋体" w:cs="宋体"/>
                <w:kern w:val="0"/>
              </w:rPr>
              <w:t>的，得</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2.90%</w:t>
            </w:r>
            <w:r>
              <w:rPr>
                <w:rFonts w:hint="eastAsia" w:ascii="宋体" w:hAnsi="宋体" w:cs="宋体"/>
                <w:kern w:val="0"/>
              </w:rPr>
              <w:t>＞固定资产利用率≥</w:t>
            </w:r>
            <w:r>
              <w:rPr>
                <w:rFonts w:ascii="宋体" w:hAnsi="宋体" w:cs="宋体"/>
                <w:kern w:val="0"/>
              </w:rPr>
              <w:t>75%</w:t>
            </w:r>
            <w:r>
              <w:rPr>
                <w:rFonts w:hint="eastAsia" w:ascii="宋体" w:hAnsi="宋体" w:cs="宋体"/>
                <w:kern w:val="0"/>
              </w:rPr>
              <w:t>的，得</w:t>
            </w:r>
            <w:r>
              <w:rPr>
                <w:rFonts w:ascii="宋体" w:hAnsi="宋体" w:cs="宋体"/>
                <w:kern w:val="0"/>
              </w:rPr>
              <w:t>0.7</w:t>
            </w:r>
            <w:r>
              <w:rPr>
                <w:rFonts w:hint="eastAsia" w:ascii="宋体" w:hAnsi="宋体" w:cs="宋体"/>
                <w:kern w:val="0"/>
              </w:rPr>
              <w:t>分；</w:t>
            </w:r>
            <w:r>
              <w:rPr>
                <w:rFonts w:ascii="宋体"/>
                <w:kern w:val="0"/>
              </w:rPr>
              <w:br w:type="textWrapping"/>
            </w:r>
            <w:r>
              <w:rPr>
                <w:rFonts w:ascii="宋体" w:hAnsi="宋体" w:cs="宋体"/>
                <w:kern w:val="0"/>
              </w:rPr>
              <w:t xml:space="preserve">    3.75%</w:t>
            </w:r>
            <w:r>
              <w:rPr>
                <w:rFonts w:hint="eastAsia" w:ascii="宋体" w:hAnsi="宋体" w:cs="宋体"/>
                <w:kern w:val="0"/>
              </w:rPr>
              <w:t>＞固定资产利用率≥</w:t>
            </w:r>
            <w:r>
              <w:rPr>
                <w:rFonts w:ascii="宋体" w:hAnsi="宋体" w:cs="宋体"/>
                <w:kern w:val="0"/>
              </w:rPr>
              <w:t>60%</w:t>
            </w:r>
            <w:r>
              <w:rPr>
                <w:rFonts w:hint="eastAsia" w:ascii="宋体" w:hAnsi="宋体" w:cs="宋体"/>
                <w:kern w:val="0"/>
              </w:rPr>
              <w:t>的，得</w:t>
            </w:r>
            <w:r>
              <w:rPr>
                <w:rFonts w:ascii="宋体" w:cs="宋体"/>
                <w:kern w:val="0"/>
              </w:rPr>
              <w:t>0.</w:t>
            </w:r>
            <w:r>
              <w:rPr>
                <w:rFonts w:ascii="宋体" w:hAnsi="宋体" w:cs="宋体"/>
                <w:kern w:val="0"/>
              </w:rPr>
              <w:t>4</w:t>
            </w:r>
            <w:r>
              <w:rPr>
                <w:rFonts w:hint="eastAsia" w:ascii="宋体" w:hAnsi="宋体" w:cs="宋体"/>
                <w:kern w:val="0"/>
              </w:rPr>
              <w:t>分；</w:t>
            </w:r>
            <w:r>
              <w:rPr>
                <w:rFonts w:ascii="宋体"/>
                <w:kern w:val="0"/>
              </w:rPr>
              <w:br w:type="textWrapping"/>
            </w:r>
            <w:r>
              <w:rPr>
                <w:rFonts w:ascii="宋体" w:hAnsi="宋体" w:cs="宋体"/>
                <w:kern w:val="0"/>
              </w:rPr>
              <w:t xml:space="preserve">    4.</w:t>
            </w:r>
            <w:r>
              <w:rPr>
                <w:rFonts w:hint="eastAsia" w:ascii="宋体" w:hAnsi="宋体" w:cs="宋体"/>
                <w:kern w:val="0"/>
              </w:rPr>
              <w:t>固定资产利用率＜</w:t>
            </w:r>
            <w:r>
              <w:rPr>
                <w:rFonts w:ascii="宋体" w:hAnsi="宋体" w:cs="宋体"/>
                <w:kern w:val="0"/>
              </w:rPr>
              <w:t>60%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1</w:t>
            </w:r>
          </w:p>
        </w:tc>
        <w:tc>
          <w:tcPr>
            <w:tcW w:w="2297" w:type="dxa"/>
            <w:tcBorders>
              <w:top w:val="nil"/>
              <w:left w:val="nil"/>
              <w:bottom w:val="single" w:color="auto" w:sz="4" w:space="0"/>
              <w:right w:val="single" w:color="auto" w:sz="4" w:space="0"/>
            </w:tcBorders>
          </w:tcPr>
          <w:p>
            <w:pPr>
              <w:widowControl/>
              <w:spacing w:line="30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1300"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人员管理</w:t>
            </w:r>
          </w:p>
        </w:tc>
        <w:tc>
          <w:tcPr>
            <w:tcW w:w="567" w:type="dxa"/>
            <w:vMerge w:val="restart"/>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85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kern w:val="0"/>
                <w:sz w:val="18"/>
                <w:szCs w:val="18"/>
              </w:rPr>
            </w:pPr>
            <w:r>
              <w:rPr>
                <w:rFonts w:hint="eastAsia" w:ascii="宋体" w:hAnsi="宋体" w:cs="宋体"/>
                <w:kern w:val="0"/>
              </w:rPr>
              <w:t>财政供养人员控制率</w:t>
            </w:r>
          </w:p>
        </w:tc>
        <w:tc>
          <w:tcPr>
            <w:tcW w:w="567"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kern w:val="0"/>
                <w:sz w:val="18"/>
                <w:szCs w:val="18"/>
              </w:rPr>
            </w:pPr>
            <w:r>
              <w:rPr>
                <w:rFonts w:ascii="宋体" w:hAnsi="宋体" w:cs="宋体"/>
                <w:kern w:val="0"/>
              </w:rPr>
              <w:t>1</w:t>
            </w:r>
          </w:p>
        </w:tc>
        <w:tc>
          <w:tcPr>
            <w:tcW w:w="2536" w:type="dxa"/>
            <w:tcBorders>
              <w:top w:val="single" w:color="auto" w:sz="4" w:space="0"/>
              <w:left w:val="nil"/>
              <w:bottom w:val="single" w:color="auto" w:sz="4" w:space="0"/>
              <w:right w:val="single" w:color="auto" w:sz="4" w:space="0"/>
            </w:tcBorders>
            <w:vAlign w:val="center"/>
          </w:tcPr>
          <w:p>
            <w:pPr>
              <w:widowControl/>
              <w:spacing w:line="300" w:lineRule="exact"/>
              <w:rPr>
                <w:rFonts w:ascii="宋体"/>
                <w:kern w:val="0"/>
                <w:sz w:val="18"/>
                <w:szCs w:val="18"/>
              </w:rPr>
            </w:pPr>
            <w:r>
              <w:rPr>
                <w:rFonts w:hint="eastAsia" w:ascii="宋体" w:hAnsi="宋体" w:cs="宋体"/>
                <w:kern w:val="0"/>
              </w:rPr>
              <w:t>部门（单位）本年度在编人数（含工勤人员）与核定编制数（含工勤人员）的比率。</w:t>
            </w:r>
          </w:p>
        </w:tc>
        <w:tc>
          <w:tcPr>
            <w:tcW w:w="5812" w:type="dxa"/>
            <w:tcBorders>
              <w:top w:val="single" w:color="auto" w:sz="4" w:space="0"/>
              <w:left w:val="nil"/>
              <w:bottom w:val="single" w:color="auto" w:sz="4" w:space="0"/>
              <w:right w:val="single" w:color="auto" w:sz="4" w:space="0"/>
            </w:tcBorders>
            <w:vAlign w:val="center"/>
          </w:tcPr>
          <w:p>
            <w:pPr>
              <w:widowControl/>
              <w:spacing w:line="300" w:lineRule="exact"/>
              <w:ind w:firstLine="420" w:firstLineChars="200"/>
              <w:rPr>
                <w:rFonts w:ascii="宋体"/>
                <w:kern w:val="0"/>
                <w:sz w:val="18"/>
                <w:szCs w:val="18"/>
              </w:rPr>
            </w:pPr>
            <w:r>
              <w:rPr>
                <w:rFonts w:hint="eastAsia" w:ascii="宋体" w:hAnsi="宋体" w:cs="宋体"/>
                <w:kern w:val="0"/>
              </w:rPr>
              <w:t>财政供养人员控制率</w:t>
            </w:r>
            <w:r>
              <w:rPr>
                <w:rFonts w:ascii="宋体" w:hAnsi="宋体" w:cs="宋体"/>
                <w:kern w:val="0"/>
              </w:rPr>
              <w:t>=</w:t>
            </w:r>
            <w:r>
              <w:rPr>
                <w:rFonts w:hint="eastAsia" w:ascii="宋体" w:hAnsi="宋体" w:cs="宋体"/>
                <w:kern w:val="0"/>
              </w:rPr>
              <w:t>本年度在编人数（含工勤人员）</w:t>
            </w:r>
            <w:r>
              <w:rPr>
                <w:rFonts w:ascii="宋体" w:hAnsi="宋体" w:cs="宋体"/>
                <w:kern w:val="0"/>
              </w:rPr>
              <w:t>/</w:t>
            </w:r>
            <w:r>
              <w:rPr>
                <w:rFonts w:hint="eastAsia" w:ascii="宋体" w:hAnsi="宋体" w:cs="宋体"/>
                <w:kern w:val="0"/>
              </w:rPr>
              <w:t>核定编制数（含工勤人员）</w:t>
            </w:r>
          </w:p>
          <w:p>
            <w:pPr>
              <w:widowControl/>
              <w:spacing w:line="300" w:lineRule="exact"/>
              <w:rPr>
                <w:rFonts w:ascii="宋体"/>
                <w:kern w:val="0"/>
                <w:sz w:val="18"/>
                <w:szCs w:val="18"/>
              </w:rPr>
            </w:pPr>
            <w:r>
              <w:rPr>
                <w:rFonts w:ascii="宋体" w:hAnsi="宋体" w:cs="宋体"/>
                <w:kern w:val="0"/>
              </w:rPr>
              <w:t xml:space="preserve">   1.</w:t>
            </w:r>
            <w:r>
              <w:rPr>
                <w:rFonts w:hint="eastAsia" w:ascii="宋体" w:hAnsi="宋体" w:cs="宋体"/>
                <w:kern w:val="0"/>
              </w:rPr>
              <w:t>财政供养人员控制率≤</w:t>
            </w:r>
            <w:r>
              <w:rPr>
                <w:rFonts w:ascii="宋体" w:hAnsi="宋体" w:cs="宋体"/>
                <w:kern w:val="0"/>
              </w:rPr>
              <w:t>100%</w:t>
            </w:r>
            <w:r>
              <w:rPr>
                <w:rFonts w:hint="eastAsia" w:ascii="宋体" w:hAnsi="宋体" w:cs="宋体"/>
                <w:kern w:val="0"/>
              </w:rPr>
              <w:t>的，得</w:t>
            </w:r>
            <w:r>
              <w:rPr>
                <w:rFonts w:ascii="宋体" w:hAnsi="宋体" w:cs="宋体"/>
                <w:kern w:val="0"/>
              </w:rPr>
              <w:t>1</w:t>
            </w:r>
            <w:r>
              <w:rPr>
                <w:rFonts w:hint="eastAsia" w:ascii="宋体" w:hAnsi="宋体" w:cs="宋体"/>
                <w:kern w:val="0"/>
              </w:rPr>
              <w:t>分；</w:t>
            </w:r>
          </w:p>
          <w:p>
            <w:pPr>
              <w:widowControl/>
              <w:spacing w:line="300" w:lineRule="exact"/>
              <w:rPr>
                <w:rFonts w:ascii="宋体"/>
                <w:kern w:val="0"/>
                <w:sz w:val="18"/>
                <w:szCs w:val="18"/>
              </w:rPr>
            </w:pPr>
            <w:r>
              <w:rPr>
                <w:rFonts w:ascii="宋体" w:cs="宋体"/>
                <w:kern w:val="0"/>
              </w:rPr>
              <w:t xml:space="preserve">   2.</w:t>
            </w:r>
            <w:r>
              <w:rPr>
                <w:rFonts w:hint="eastAsia" w:ascii="宋体" w:hAnsi="宋体" w:cs="宋体"/>
                <w:kern w:val="0"/>
              </w:rPr>
              <w:t>财政供养人员控制率＞</w:t>
            </w:r>
            <w:r>
              <w:rPr>
                <w:rFonts w:ascii="宋体" w:hAnsi="宋体" w:cs="宋体"/>
                <w:kern w:val="0"/>
              </w:rPr>
              <w:t>100%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22"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1</w:t>
            </w:r>
          </w:p>
        </w:tc>
        <w:tc>
          <w:tcPr>
            <w:tcW w:w="2297" w:type="dxa"/>
            <w:tcBorders>
              <w:top w:val="single" w:color="auto" w:sz="4" w:space="0"/>
              <w:left w:val="nil"/>
              <w:bottom w:val="single" w:color="auto" w:sz="4" w:space="0"/>
              <w:right w:val="single" w:color="auto" w:sz="4" w:space="0"/>
            </w:tcBorders>
          </w:tcPr>
          <w:p>
            <w:pPr>
              <w:widowControl/>
              <w:spacing w:line="30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1267"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编外人员控制率</w:t>
            </w:r>
          </w:p>
        </w:tc>
        <w:tc>
          <w:tcPr>
            <w:tcW w:w="567"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1</w:t>
            </w:r>
          </w:p>
        </w:tc>
        <w:tc>
          <w:tcPr>
            <w:tcW w:w="2536" w:type="dxa"/>
            <w:tcBorders>
              <w:top w:val="single" w:color="auto" w:sz="4" w:space="0"/>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部门（单位）本年度使用劳务派遣人员数量（含直接聘用的编外人员）与在职人员总数（在编</w:t>
            </w:r>
            <w:r>
              <w:rPr>
                <w:rFonts w:ascii="宋体" w:hAnsi="宋体" w:cs="宋体"/>
                <w:kern w:val="0"/>
              </w:rPr>
              <w:t>+</w:t>
            </w:r>
            <w:r>
              <w:rPr>
                <w:rFonts w:hint="eastAsia" w:ascii="宋体" w:hAnsi="宋体" w:cs="宋体"/>
                <w:kern w:val="0"/>
              </w:rPr>
              <w:t>编外）的比率。</w:t>
            </w:r>
          </w:p>
        </w:tc>
        <w:tc>
          <w:tcPr>
            <w:tcW w:w="5812" w:type="dxa"/>
            <w:tcBorders>
              <w:top w:val="single" w:color="auto" w:sz="4" w:space="0"/>
              <w:left w:val="nil"/>
              <w:bottom w:val="single" w:color="auto" w:sz="4" w:space="0"/>
              <w:right w:val="single" w:color="auto" w:sz="4" w:space="0"/>
            </w:tcBorders>
            <w:vAlign w:val="center"/>
          </w:tcPr>
          <w:p>
            <w:pPr>
              <w:widowControl/>
              <w:spacing w:line="300" w:lineRule="exact"/>
              <w:ind w:firstLine="420" w:firstLineChars="200"/>
              <w:rPr>
                <w:rFonts w:ascii="宋体"/>
                <w:kern w:val="0"/>
              </w:rPr>
            </w:pPr>
            <w:r>
              <w:rPr>
                <w:rFonts w:ascii="宋体" w:hAnsi="宋体" w:cs="宋体"/>
                <w:kern w:val="0"/>
              </w:rPr>
              <w:t>1.</w:t>
            </w:r>
            <w:r>
              <w:rPr>
                <w:rFonts w:hint="eastAsia" w:ascii="宋体" w:hAnsi="宋体" w:cs="宋体"/>
                <w:kern w:val="0"/>
              </w:rPr>
              <w:t>比率＜</w:t>
            </w:r>
            <w:r>
              <w:rPr>
                <w:rFonts w:ascii="宋体" w:hAnsi="宋体" w:cs="宋体"/>
                <w:kern w:val="0"/>
              </w:rPr>
              <w:t>5%</w:t>
            </w:r>
            <w:r>
              <w:rPr>
                <w:rFonts w:hint="eastAsia" w:ascii="宋体" w:hAnsi="宋体" w:cs="宋体"/>
                <w:kern w:val="0"/>
              </w:rPr>
              <w:t>的，得</w:t>
            </w:r>
            <w:r>
              <w:rPr>
                <w:rFonts w:ascii="宋体" w:hAnsi="宋体" w:cs="宋体"/>
                <w:kern w:val="0"/>
              </w:rPr>
              <w:t>1</w:t>
            </w:r>
            <w:r>
              <w:rPr>
                <w:rFonts w:hint="eastAsia" w:ascii="宋体" w:hAnsi="宋体" w:cs="宋体"/>
                <w:kern w:val="0"/>
              </w:rPr>
              <w:t>分；</w:t>
            </w:r>
          </w:p>
          <w:p>
            <w:pPr>
              <w:widowControl/>
              <w:spacing w:line="300" w:lineRule="exact"/>
              <w:ind w:firstLine="420" w:firstLineChars="200"/>
              <w:rPr>
                <w:rFonts w:ascii="宋体"/>
                <w:kern w:val="0"/>
              </w:rPr>
            </w:pPr>
            <w:r>
              <w:rPr>
                <w:rFonts w:ascii="宋体" w:hAnsi="宋体" w:cs="宋体"/>
                <w:kern w:val="0"/>
              </w:rPr>
              <w:t>2.5%</w:t>
            </w:r>
            <w:r>
              <w:rPr>
                <w:rFonts w:hint="eastAsia" w:ascii="宋体" w:hAnsi="宋体" w:cs="宋体"/>
                <w:kern w:val="0"/>
              </w:rPr>
              <w:t>≤比率≤</w:t>
            </w:r>
            <w:r>
              <w:rPr>
                <w:rFonts w:ascii="宋体" w:hAnsi="宋体" w:cs="宋体"/>
                <w:kern w:val="0"/>
              </w:rPr>
              <w:t>10%</w:t>
            </w:r>
            <w:r>
              <w:rPr>
                <w:rFonts w:hint="eastAsia" w:ascii="宋体" w:hAnsi="宋体" w:cs="宋体"/>
                <w:kern w:val="0"/>
              </w:rPr>
              <w:t>的，得</w:t>
            </w:r>
            <w:r>
              <w:rPr>
                <w:rFonts w:ascii="宋体" w:hAnsi="宋体" w:cs="宋体"/>
                <w:kern w:val="0"/>
              </w:rPr>
              <w:t>0.5</w:t>
            </w:r>
            <w:r>
              <w:rPr>
                <w:rFonts w:hint="eastAsia" w:ascii="宋体" w:hAnsi="宋体" w:cs="宋体"/>
                <w:kern w:val="0"/>
              </w:rPr>
              <w:t>分；</w:t>
            </w:r>
            <w:r>
              <w:rPr>
                <w:rFonts w:ascii="宋体"/>
                <w:kern w:val="0"/>
              </w:rPr>
              <w:br w:type="textWrapping"/>
            </w:r>
            <w:r>
              <w:rPr>
                <w:rFonts w:ascii="宋体" w:hAnsi="宋体" w:cs="宋体"/>
                <w:kern w:val="0"/>
              </w:rPr>
              <w:t xml:space="preserve">    3</w:t>
            </w:r>
            <w:r>
              <w:rPr>
                <w:rFonts w:ascii="宋体" w:cs="宋体"/>
                <w:kern w:val="0"/>
              </w:rPr>
              <w:t>.</w:t>
            </w:r>
            <w:r>
              <w:rPr>
                <w:rFonts w:hint="eastAsia" w:ascii="宋体" w:hAnsi="宋体" w:cs="宋体"/>
                <w:kern w:val="0"/>
              </w:rPr>
              <w:t>比率＞</w:t>
            </w:r>
            <w:r>
              <w:rPr>
                <w:rFonts w:ascii="宋体" w:hAnsi="宋体" w:cs="宋体"/>
                <w:kern w:val="0"/>
              </w:rPr>
              <w:t>10%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22"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0</w:t>
            </w:r>
          </w:p>
        </w:tc>
        <w:tc>
          <w:tcPr>
            <w:tcW w:w="2297" w:type="dxa"/>
            <w:tcBorders>
              <w:top w:val="single" w:color="auto" w:sz="4" w:space="0"/>
              <w:left w:val="nil"/>
              <w:bottom w:val="single" w:color="auto" w:sz="4" w:space="0"/>
              <w:right w:val="single" w:color="auto" w:sz="4" w:space="0"/>
            </w:tcBorders>
          </w:tcPr>
          <w:p>
            <w:pPr>
              <w:widowControl/>
              <w:spacing w:line="300" w:lineRule="exact"/>
            </w:pPr>
            <w:r>
              <w:rPr>
                <w:rFonts w:hint="eastAsia"/>
              </w:rPr>
              <w:t>扣分原因：我校年末在职人员31人，其他人员6人，编外人员控制率16.21%。</w:t>
            </w:r>
          </w:p>
          <w:p>
            <w:pPr>
              <w:widowControl/>
              <w:spacing w:line="300" w:lineRule="exact"/>
            </w:pPr>
            <w:r>
              <w:rPr>
                <w:rFonts w:hint="eastAsia"/>
              </w:rPr>
              <w:t>改进措施：加强编外人员的用工管理，规范录用程序，专人负责。</w:t>
            </w:r>
          </w:p>
        </w:tc>
      </w:tr>
      <w:tr>
        <w:tblPrEx>
          <w:tblCellMar>
            <w:top w:w="0" w:type="dxa"/>
            <w:left w:w="108" w:type="dxa"/>
            <w:bottom w:w="0" w:type="dxa"/>
            <w:right w:w="108" w:type="dxa"/>
          </w:tblCellMar>
        </w:tblPrEx>
        <w:trPr>
          <w:trHeight w:val="1521"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制度管理</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851"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管理制度健全性</w:t>
            </w:r>
          </w:p>
        </w:tc>
        <w:tc>
          <w:tcPr>
            <w:tcW w:w="567"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3</w:t>
            </w:r>
          </w:p>
        </w:tc>
        <w:tc>
          <w:tcPr>
            <w:tcW w:w="2536"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部门（单位）制定了相应的预算资金、财务管理和预算绩效管理等制度并严格执行，用以反映部门（单位）的管理制度对其完成主要职责和促进事业发展的保障情况。</w:t>
            </w:r>
          </w:p>
        </w:tc>
        <w:tc>
          <w:tcPr>
            <w:tcW w:w="5812" w:type="dxa"/>
            <w:tcBorders>
              <w:top w:val="nil"/>
              <w:left w:val="nil"/>
              <w:bottom w:val="single" w:color="auto" w:sz="4" w:space="0"/>
              <w:right w:val="single" w:color="auto" w:sz="4" w:space="0"/>
            </w:tcBorders>
          </w:tcPr>
          <w:p>
            <w:pPr>
              <w:widowControl/>
              <w:spacing w:line="300" w:lineRule="exact"/>
              <w:jc w:val="left"/>
              <w:rPr>
                <w:rFonts w:ascii="宋体"/>
                <w:kern w:val="0"/>
              </w:rPr>
            </w:pPr>
            <w:r>
              <w:rPr>
                <w:rFonts w:ascii="宋体" w:hAnsi="宋体" w:cs="宋体"/>
                <w:kern w:val="0"/>
              </w:rPr>
              <w:t xml:space="preserve">    1.</w:t>
            </w:r>
            <w:r>
              <w:rPr>
                <w:rFonts w:hint="eastAsia" w:ascii="宋体" w:hAnsi="宋体" w:cs="宋体"/>
                <w:kern w:val="0"/>
              </w:rPr>
              <w:t>部门制定了财政资金管理、财务管理、内部控制等制度（</w:t>
            </w:r>
            <w:r>
              <w:rPr>
                <w:rFonts w:ascii="宋体" w:hAnsi="宋体" w:cs="宋体"/>
                <w:kern w:val="0"/>
              </w:rPr>
              <w:t>0.5</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上述财政资金管理、财务管理、内部控制等制度得到有效执行（</w:t>
            </w:r>
            <w:r>
              <w:rPr>
                <w:rFonts w:ascii="宋体" w:hAnsi="宋体" w:cs="宋体"/>
                <w:kern w:val="0"/>
              </w:rPr>
              <w:t>1.5</w:t>
            </w:r>
            <w:r>
              <w:rPr>
                <w:rFonts w:hint="eastAsia" w:ascii="宋体" w:hAnsi="宋体" w:cs="宋体"/>
                <w:kern w:val="0"/>
              </w:rPr>
              <w:t>分）；</w:t>
            </w:r>
            <w:r>
              <w:rPr>
                <w:rFonts w:ascii="宋体"/>
                <w:kern w:val="0"/>
              </w:rPr>
              <w:br w:type="textWrapping"/>
            </w:r>
            <w:r>
              <w:rPr>
                <w:rFonts w:ascii="宋体" w:hAnsi="宋体" w:cs="宋体"/>
                <w:kern w:val="0"/>
              </w:rPr>
              <w:t xml:space="preserve">    3.</w:t>
            </w:r>
            <w:r>
              <w:rPr>
                <w:rFonts w:hint="eastAsia" w:ascii="宋体" w:hAnsi="宋体" w:cs="宋体"/>
                <w:kern w:val="0"/>
              </w:rPr>
              <w:t>部门按照预算和绩效管理一体化的要求制定本部门全面实施预算绩效管理的制度或工作方案，组织指导本级及下属单位开展事前评估、绩效目标编报、绩效监控、绩效评价和评价结果应用等工作（</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3</w:t>
            </w:r>
          </w:p>
        </w:tc>
        <w:tc>
          <w:tcPr>
            <w:tcW w:w="2297" w:type="dxa"/>
            <w:tcBorders>
              <w:top w:val="nil"/>
              <w:left w:val="nil"/>
              <w:bottom w:val="single" w:color="auto" w:sz="4" w:space="0"/>
              <w:right w:val="single" w:color="auto" w:sz="4" w:space="0"/>
            </w:tcBorders>
          </w:tcPr>
          <w:p>
            <w:pPr>
              <w:widowControl/>
              <w:spacing w:line="300" w:lineRule="exact"/>
              <w:jc w:val="left"/>
              <w:rPr>
                <w:rFonts w:ascii="宋体" w:hAnsi="宋体" w:cs="宋体"/>
                <w:kern w:val="0"/>
              </w:rPr>
            </w:pPr>
          </w:p>
        </w:tc>
      </w:tr>
      <w:tr>
        <w:tblPrEx>
          <w:tblCellMar>
            <w:top w:w="0" w:type="dxa"/>
            <w:left w:w="108" w:type="dxa"/>
            <w:bottom w:w="0" w:type="dxa"/>
            <w:right w:w="108" w:type="dxa"/>
          </w:tblCellMar>
        </w:tblPrEx>
        <w:trPr>
          <w:trHeight w:val="360" w:hRule="atLeast"/>
        </w:trPr>
        <w:tc>
          <w:tcPr>
            <w:tcW w:w="57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部门绩效</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ascii="宋体" w:hAnsi="宋体" w:cs="宋体"/>
                <w:kern w:val="0"/>
              </w:rPr>
              <w:t>55</w:t>
            </w:r>
          </w:p>
        </w:tc>
        <w:tc>
          <w:tcPr>
            <w:tcW w:w="567"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经济性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公用经费控制率</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部门（单位）本年度实际支出的公用经费总额与预算安排的公用经费总额的比率，用以反映和考核部门（单位）对机构运转成本的实际控制程度。</w:t>
            </w:r>
          </w:p>
        </w:tc>
        <w:tc>
          <w:tcPr>
            <w:tcW w:w="5812" w:type="dxa"/>
            <w:tcBorders>
              <w:top w:val="nil"/>
              <w:left w:val="nil"/>
              <w:bottom w:val="single" w:color="auto" w:sz="4" w:space="0"/>
              <w:right w:val="single" w:color="auto" w:sz="4" w:space="0"/>
            </w:tcBorders>
            <w:vAlign w:val="center"/>
          </w:tcPr>
          <w:p>
            <w:pPr>
              <w:widowControl/>
              <w:spacing w:line="320" w:lineRule="exact"/>
              <w:ind w:firstLine="420"/>
              <w:rPr>
                <w:rFonts w:ascii="宋体"/>
                <w:kern w:val="0"/>
              </w:rPr>
            </w:pPr>
            <w:r>
              <w:rPr>
                <w:rFonts w:ascii="宋体" w:hAnsi="宋体" w:cs="宋体"/>
                <w:kern w:val="0"/>
              </w:rPr>
              <w:t>1.</w:t>
            </w:r>
            <w:r>
              <w:rPr>
                <w:rFonts w:hint="eastAsia" w:ascii="宋体" w:hAnsi="宋体" w:cs="宋体"/>
                <w:kern w:val="0"/>
              </w:rPr>
              <w:t>“三公”经费控制率</w:t>
            </w:r>
            <w:r>
              <w:rPr>
                <w:rFonts w:ascii="宋体" w:hAnsi="宋体" w:cs="宋体"/>
                <w:kern w:val="0"/>
              </w:rPr>
              <w:t>=</w:t>
            </w:r>
            <w:r>
              <w:rPr>
                <w:rFonts w:hint="eastAsia" w:ascii="宋体" w:hAnsi="宋体" w:cs="宋体"/>
                <w:kern w:val="0"/>
              </w:rPr>
              <w:t>“三公”经费实际支出数</w:t>
            </w:r>
            <w:r>
              <w:rPr>
                <w:rFonts w:ascii="宋体" w:hAnsi="宋体" w:cs="宋体"/>
                <w:kern w:val="0"/>
              </w:rPr>
              <w:t>/</w:t>
            </w:r>
            <w:r>
              <w:rPr>
                <w:rFonts w:hint="eastAsia" w:ascii="宋体" w:hAnsi="宋体" w:cs="宋体"/>
                <w:kern w:val="0"/>
              </w:rPr>
              <w:t>“三公”经费预算安排数×</w:t>
            </w:r>
            <w:r>
              <w:rPr>
                <w:rFonts w:ascii="宋体" w:hAnsi="宋体" w:cs="宋体"/>
                <w:kern w:val="0"/>
              </w:rPr>
              <w:t>100%</w:t>
            </w:r>
          </w:p>
          <w:p>
            <w:pPr>
              <w:widowControl/>
              <w:spacing w:line="320" w:lineRule="exact"/>
              <w:ind w:firstLine="315" w:firstLineChars="150"/>
              <w:rPr>
                <w:rFonts w:ascii="宋体"/>
                <w:kern w:val="0"/>
              </w:rPr>
            </w:pPr>
            <w:r>
              <w:rPr>
                <w:rFonts w:hint="eastAsia" w:ascii="宋体" w:cs="宋体"/>
                <w:kern w:val="0"/>
              </w:rPr>
              <w:t>（</w:t>
            </w:r>
            <w:r>
              <w:rPr>
                <w:rFonts w:ascii="宋体" w:cs="宋体"/>
                <w:kern w:val="0"/>
              </w:rPr>
              <w:t>1</w:t>
            </w:r>
            <w:r>
              <w:rPr>
                <w:rFonts w:hint="eastAsia" w:ascii="宋体" w:cs="宋体"/>
                <w:kern w:val="0"/>
              </w:rPr>
              <w:t>）</w:t>
            </w:r>
            <w:r>
              <w:rPr>
                <w:rFonts w:hint="eastAsia" w:ascii="宋体" w:hAnsi="宋体" w:cs="宋体"/>
                <w:kern w:val="0"/>
              </w:rPr>
              <w:t>“三公”经费控制率＜</w:t>
            </w:r>
            <w:r>
              <w:rPr>
                <w:rFonts w:ascii="宋体" w:hAnsi="宋体" w:cs="宋体"/>
                <w:kern w:val="0"/>
              </w:rPr>
              <w:t>90%</w:t>
            </w:r>
            <w:r>
              <w:rPr>
                <w:rFonts w:hint="eastAsia" w:ascii="宋体" w:hAnsi="宋体" w:cs="宋体"/>
                <w:kern w:val="0"/>
              </w:rPr>
              <w:t>的，得</w:t>
            </w:r>
            <w:r>
              <w:rPr>
                <w:rFonts w:ascii="宋体" w:hAnsi="宋体" w:cs="宋体"/>
                <w:kern w:val="0"/>
              </w:rPr>
              <w:t>3</w:t>
            </w:r>
            <w:r>
              <w:rPr>
                <w:rFonts w:hint="eastAsia" w:ascii="宋体" w:hAnsi="宋体" w:cs="宋体"/>
                <w:kern w:val="0"/>
              </w:rPr>
              <w:t>分；</w:t>
            </w:r>
          </w:p>
          <w:p>
            <w:pPr>
              <w:widowControl/>
              <w:spacing w:line="320" w:lineRule="exact"/>
              <w:ind w:firstLine="315" w:firstLineChars="150"/>
              <w:rPr>
                <w:rFonts w:ascii="宋体"/>
                <w:kern w:val="0"/>
              </w:rPr>
            </w:pPr>
            <w:r>
              <w:rPr>
                <w:rFonts w:hint="eastAsia" w:ascii="宋体" w:hAnsi="宋体" w:cs="宋体"/>
                <w:kern w:val="0"/>
              </w:rPr>
              <w:t>（</w:t>
            </w:r>
            <w:r>
              <w:rPr>
                <w:rFonts w:ascii="宋体" w:hAnsi="宋体" w:cs="宋体"/>
                <w:kern w:val="0"/>
              </w:rPr>
              <w:t>2</w:t>
            </w:r>
            <w:r>
              <w:rPr>
                <w:rFonts w:hint="eastAsia" w:ascii="宋体" w:hAnsi="宋体" w:cs="宋体"/>
                <w:kern w:val="0"/>
              </w:rPr>
              <w:t>）</w:t>
            </w:r>
            <w:r>
              <w:rPr>
                <w:rFonts w:ascii="宋体" w:hAnsi="宋体" w:cs="宋体"/>
                <w:kern w:val="0"/>
              </w:rPr>
              <w:t>90%</w:t>
            </w:r>
            <w:r>
              <w:rPr>
                <w:rFonts w:hint="eastAsia" w:ascii="宋体" w:hAnsi="宋体" w:cs="宋体"/>
                <w:kern w:val="0"/>
              </w:rPr>
              <w:t>≤“三公”经费控制率≤</w:t>
            </w:r>
            <w:r>
              <w:rPr>
                <w:rFonts w:ascii="宋体" w:hAnsi="宋体" w:cs="宋体"/>
                <w:kern w:val="0"/>
              </w:rPr>
              <w:t>100%</w:t>
            </w:r>
            <w:r>
              <w:rPr>
                <w:rFonts w:hint="eastAsia" w:ascii="宋体" w:hAnsi="宋体" w:cs="宋体"/>
                <w:kern w:val="0"/>
              </w:rPr>
              <w:t>的，得</w:t>
            </w:r>
            <w:r>
              <w:rPr>
                <w:rFonts w:ascii="宋体" w:hAnsi="宋体" w:cs="宋体"/>
                <w:kern w:val="0"/>
              </w:rPr>
              <w:t>2</w:t>
            </w:r>
            <w:r>
              <w:rPr>
                <w:rFonts w:hint="eastAsia" w:ascii="宋体" w:hAnsi="宋体" w:cs="宋体"/>
                <w:kern w:val="0"/>
              </w:rPr>
              <w:t>分；</w:t>
            </w:r>
          </w:p>
          <w:p>
            <w:pPr>
              <w:widowControl/>
              <w:spacing w:line="320" w:lineRule="exact"/>
              <w:ind w:firstLine="315" w:firstLineChars="150"/>
              <w:rPr>
                <w:rFonts w:ascii="宋体" w:hAnsi="宋体" w:cs="宋体"/>
                <w:kern w:val="0"/>
              </w:rPr>
            </w:pPr>
            <w:r>
              <w:rPr>
                <w:rFonts w:hint="eastAsia" w:ascii="宋体" w:cs="宋体"/>
                <w:kern w:val="0"/>
              </w:rPr>
              <w:t>（</w:t>
            </w:r>
            <w:r>
              <w:rPr>
                <w:rFonts w:ascii="宋体" w:cs="宋体"/>
                <w:kern w:val="0"/>
              </w:rPr>
              <w:t>3</w:t>
            </w:r>
            <w:r>
              <w:rPr>
                <w:rFonts w:hint="eastAsia" w:ascii="宋体" w:cs="宋体"/>
                <w:kern w:val="0"/>
              </w:rPr>
              <w:t>）</w:t>
            </w:r>
            <w:r>
              <w:rPr>
                <w:rFonts w:hint="eastAsia" w:ascii="宋体" w:hAnsi="宋体" w:cs="宋体"/>
                <w:kern w:val="0"/>
              </w:rPr>
              <w:t>“三公”经费控制率＞</w:t>
            </w:r>
            <w:r>
              <w:rPr>
                <w:rFonts w:ascii="宋体" w:hAnsi="宋体" w:cs="宋体"/>
                <w:kern w:val="0"/>
              </w:rPr>
              <w:t>100%</w:t>
            </w:r>
            <w:r>
              <w:rPr>
                <w:rFonts w:hint="eastAsia" w:ascii="宋体" w:hAnsi="宋体" w:cs="宋体"/>
                <w:kern w:val="0"/>
              </w:rPr>
              <w:t>的，得</w:t>
            </w:r>
            <w:r>
              <w:rPr>
                <w:rFonts w:ascii="宋体" w:cs="宋体"/>
                <w:kern w:val="0"/>
              </w:rPr>
              <w:t>0</w:t>
            </w:r>
            <w:r>
              <w:rPr>
                <w:rFonts w:hint="eastAsia" w:ascii="宋体" w:hAnsi="宋体" w:cs="宋体"/>
                <w:kern w:val="0"/>
              </w:rPr>
              <w:t>分。</w:t>
            </w:r>
            <w:r>
              <w:rPr>
                <w:rFonts w:ascii="宋体"/>
                <w:kern w:val="0"/>
              </w:rPr>
              <w:br w:type="textWrapping"/>
            </w:r>
            <w:r>
              <w:rPr>
                <w:rFonts w:ascii="宋体" w:hAnsi="宋体" w:cs="宋体"/>
                <w:kern w:val="0"/>
              </w:rPr>
              <w:t xml:space="preserve">    2. </w:t>
            </w:r>
            <w:r>
              <w:rPr>
                <w:rFonts w:hint="eastAsia" w:ascii="宋体" w:hAnsi="宋体" w:cs="宋体"/>
                <w:kern w:val="0"/>
              </w:rPr>
              <w:t>日常公用经费控制率</w:t>
            </w:r>
            <w:r>
              <w:rPr>
                <w:rFonts w:ascii="宋体" w:hAnsi="宋体" w:cs="宋体"/>
                <w:kern w:val="0"/>
              </w:rPr>
              <w:t>=</w:t>
            </w:r>
            <w:r>
              <w:rPr>
                <w:rFonts w:hint="eastAsia" w:ascii="宋体" w:hAnsi="宋体" w:cs="宋体"/>
                <w:kern w:val="0"/>
              </w:rPr>
              <w:t>日常公用经费决算数</w:t>
            </w:r>
            <w:r>
              <w:rPr>
                <w:rFonts w:ascii="宋体" w:hAnsi="宋体" w:cs="宋体"/>
                <w:kern w:val="0"/>
              </w:rPr>
              <w:t>/</w:t>
            </w:r>
            <w:r>
              <w:rPr>
                <w:rFonts w:hint="eastAsia" w:ascii="宋体" w:hAnsi="宋体" w:cs="宋体"/>
                <w:kern w:val="0"/>
              </w:rPr>
              <w:t>日常公用经费调整预算数×</w:t>
            </w:r>
            <w:r>
              <w:rPr>
                <w:rFonts w:ascii="宋体" w:hAnsi="宋体" w:cs="宋体"/>
                <w:kern w:val="0"/>
              </w:rPr>
              <w:t>100%</w:t>
            </w:r>
          </w:p>
          <w:p>
            <w:pPr>
              <w:widowControl/>
              <w:spacing w:line="320" w:lineRule="exact"/>
              <w:ind w:firstLine="315" w:firstLineChars="150"/>
              <w:rPr>
                <w:rFonts w:ascii="宋体"/>
                <w:kern w:val="0"/>
              </w:rPr>
            </w:pPr>
            <w:r>
              <w:rPr>
                <w:rFonts w:hint="eastAsia" w:ascii="宋体" w:cs="宋体"/>
                <w:kern w:val="0"/>
              </w:rPr>
              <w:t>（</w:t>
            </w:r>
            <w:r>
              <w:rPr>
                <w:rFonts w:ascii="宋体" w:cs="宋体"/>
                <w:kern w:val="0"/>
              </w:rPr>
              <w:t>1</w:t>
            </w:r>
            <w:r>
              <w:rPr>
                <w:rFonts w:hint="eastAsia" w:ascii="宋体" w:cs="宋体"/>
                <w:kern w:val="0"/>
              </w:rPr>
              <w:t>）</w:t>
            </w:r>
            <w:r>
              <w:rPr>
                <w:rFonts w:hint="eastAsia" w:ascii="宋体" w:hAnsi="宋体" w:cs="宋体"/>
                <w:kern w:val="0"/>
              </w:rPr>
              <w:t>日常公用经费控制率＜</w:t>
            </w:r>
            <w:r>
              <w:rPr>
                <w:rFonts w:ascii="宋体" w:hAnsi="宋体" w:cs="宋体"/>
                <w:kern w:val="0"/>
              </w:rPr>
              <w:t>90%</w:t>
            </w:r>
            <w:r>
              <w:rPr>
                <w:rFonts w:hint="eastAsia" w:ascii="宋体" w:hAnsi="宋体" w:cs="宋体"/>
                <w:kern w:val="0"/>
              </w:rPr>
              <w:t>的，得</w:t>
            </w:r>
            <w:r>
              <w:rPr>
                <w:rFonts w:ascii="宋体" w:hAnsi="宋体" w:cs="宋体"/>
                <w:kern w:val="0"/>
              </w:rPr>
              <w:t>3</w:t>
            </w:r>
            <w:r>
              <w:rPr>
                <w:rFonts w:hint="eastAsia" w:ascii="宋体" w:hAnsi="宋体" w:cs="宋体"/>
                <w:kern w:val="0"/>
              </w:rPr>
              <w:t>分；</w:t>
            </w:r>
          </w:p>
          <w:p>
            <w:pPr>
              <w:widowControl/>
              <w:spacing w:line="320" w:lineRule="exact"/>
              <w:ind w:firstLine="315" w:firstLineChars="150"/>
              <w:rPr>
                <w:rFonts w:ascii="宋体"/>
                <w:kern w:val="0"/>
              </w:rPr>
            </w:pPr>
            <w:r>
              <w:rPr>
                <w:rFonts w:hint="eastAsia" w:ascii="宋体" w:hAnsi="宋体" w:cs="宋体"/>
                <w:kern w:val="0"/>
              </w:rPr>
              <w:t>（</w:t>
            </w:r>
            <w:r>
              <w:rPr>
                <w:rFonts w:ascii="宋体" w:hAnsi="宋体" w:cs="宋体"/>
                <w:kern w:val="0"/>
              </w:rPr>
              <w:t>2</w:t>
            </w:r>
            <w:r>
              <w:rPr>
                <w:rFonts w:hint="eastAsia" w:ascii="宋体" w:hAnsi="宋体" w:cs="宋体"/>
                <w:kern w:val="0"/>
              </w:rPr>
              <w:t>）</w:t>
            </w:r>
            <w:r>
              <w:rPr>
                <w:rFonts w:ascii="宋体" w:hAnsi="宋体" w:cs="宋体"/>
                <w:kern w:val="0"/>
              </w:rPr>
              <w:t>90%</w:t>
            </w:r>
            <w:r>
              <w:rPr>
                <w:rFonts w:hint="eastAsia" w:ascii="宋体" w:hAnsi="宋体" w:cs="宋体"/>
                <w:kern w:val="0"/>
              </w:rPr>
              <w:t>≤日常公用经费控制率≤</w:t>
            </w:r>
            <w:r>
              <w:rPr>
                <w:rFonts w:ascii="宋体" w:hAnsi="宋体" w:cs="宋体"/>
                <w:kern w:val="0"/>
              </w:rPr>
              <w:t>100%</w:t>
            </w:r>
            <w:r>
              <w:rPr>
                <w:rFonts w:hint="eastAsia" w:ascii="宋体" w:hAnsi="宋体" w:cs="宋体"/>
                <w:kern w:val="0"/>
              </w:rPr>
              <w:t>的，得</w:t>
            </w:r>
            <w:r>
              <w:rPr>
                <w:rFonts w:ascii="宋体" w:hAnsi="宋体" w:cs="宋体"/>
                <w:kern w:val="0"/>
              </w:rPr>
              <w:t>2</w:t>
            </w:r>
            <w:r>
              <w:rPr>
                <w:rFonts w:hint="eastAsia" w:ascii="宋体" w:hAnsi="宋体" w:cs="宋体"/>
                <w:kern w:val="0"/>
              </w:rPr>
              <w:t>分；</w:t>
            </w:r>
          </w:p>
          <w:p>
            <w:pPr>
              <w:widowControl/>
              <w:spacing w:line="320" w:lineRule="exact"/>
              <w:ind w:firstLine="315" w:firstLineChars="150"/>
              <w:rPr>
                <w:rFonts w:ascii="宋体"/>
                <w:kern w:val="0"/>
              </w:rPr>
            </w:pPr>
            <w:r>
              <w:rPr>
                <w:rFonts w:hint="eastAsia" w:ascii="宋体" w:cs="宋体"/>
                <w:kern w:val="0"/>
              </w:rPr>
              <w:t>（</w:t>
            </w:r>
            <w:r>
              <w:rPr>
                <w:rFonts w:ascii="宋体" w:cs="宋体"/>
                <w:kern w:val="0"/>
              </w:rPr>
              <w:t>3</w:t>
            </w:r>
            <w:r>
              <w:rPr>
                <w:rFonts w:hint="eastAsia" w:ascii="宋体" w:cs="宋体"/>
                <w:kern w:val="0"/>
              </w:rPr>
              <w:t>）</w:t>
            </w:r>
            <w:r>
              <w:rPr>
                <w:rFonts w:hint="eastAsia" w:ascii="宋体" w:hAnsi="宋体" w:cs="宋体"/>
                <w:kern w:val="0"/>
              </w:rPr>
              <w:t>日常公用经费控制率＞</w:t>
            </w:r>
            <w:r>
              <w:rPr>
                <w:rFonts w:ascii="宋体" w:hAnsi="宋体" w:cs="宋体"/>
                <w:kern w:val="0"/>
              </w:rPr>
              <w:t>100%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4</w:t>
            </w:r>
          </w:p>
        </w:tc>
        <w:tc>
          <w:tcPr>
            <w:tcW w:w="2297" w:type="dxa"/>
            <w:tcBorders>
              <w:top w:val="nil"/>
              <w:left w:val="nil"/>
              <w:bottom w:val="single" w:color="auto" w:sz="4" w:space="0"/>
              <w:right w:val="single" w:color="auto" w:sz="4" w:space="0"/>
            </w:tcBorders>
          </w:tcPr>
          <w:p>
            <w:pPr>
              <w:widowControl/>
              <w:spacing w:line="320" w:lineRule="exact"/>
            </w:pPr>
            <w:r>
              <w:rPr>
                <w:rFonts w:hint="eastAsia"/>
              </w:rPr>
              <w:t>扣分原因：“三公”经费控制率为98.52%，日常公用经费控制率为97.41%。</w:t>
            </w:r>
          </w:p>
          <w:p>
            <w:pPr>
              <w:widowControl/>
              <w:spacing w:line="320" w:lineRule="exact"/>
            </w:pPr>
            <w:r>
              <w:rPr>
                <w:rFonts w:hint="eastAsia"/>
              </w:rPr>
              <w:t>改进措施：落实过紧日子思想，严控学校一般性支出；进一步强化零基预算管理，部门一般性支出力求压减10%以上；严格执行公务用车配备及使用管理规定，压减公务用车运行经费。</w:t>
            </w:r>
          </w:p>
        </w:tc>
      </w:tr>
      <w:tr>
        <w:tblPrEx>
          <w:tblCellMar>
            <w:top w:w="0" w:type="dxa"/>
            <w:left w:w="108" w:type="dxa"/>
            <w:bottom w:w="0" w:type="dxa"/>
            <w:right w:w="108" w:type="dxa"/>
          </w:tblCellMar>
        </w:tblPrEx>
        <w:trPr>
          <w:trHeight w:val="2767"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ascii="宋体"/>
                <w:kern w:val="0"/>
              </w:rPr>
            </w:pPr>
            <w:r>
              <w:rPr>
                <w:rFonts w:hint="eastAsia" w:ascii="宋体" w:hAnsi="宋体" w:cs="宋体"/>
                <w:kern w:val="0"/>
              </w:rPr>
              <w:t>效率性</w:t>
            </w: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kern w:val="0"/>
              </w:rPr>
            </w:pPr>
            <w:r>
              <w:rPr>
                <w:rFonts w:ascii="宋体" w:hAnsi="宋体" w:cs="宋体"/>
                <w:kern w:val="0"/>
              </w:rPr>
              <w:t>20</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预算执行率</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部门（单位）部门预算实际支付进度和既定支付进度的匹配情况，反映和考核部门（单位）预算执行的及时性和均衡性。</w:t>
            </w:r>
          </w:p>
        </w:tc>
        <w:tc>
          <w:tcPr>
            <w:tcW w:w="5812"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ascii="宋体" w:hAnsi="宋体" w:cs="宋体"/>
                <w:kern w:val="0"/>
              </w:rPr>
              <w:t>1.</w:t>
            </w:r>
            <w:r>
              <w:rPr>
                <w:rFonts w:hint="eastAsia" w:ascii="宋体" w:hAnsi="宋体" w:cs="宋体"/>
                <w:kern w:val="0"/>
              </w:rPr>
              <w:t>一季度预算执行率得分</w:t>
            </w:r>
            <w:r>
              <w:rPr>
                <w:rFonts w:ascii="宋体" w:hAnsi="宋体" w:cs="宋体"/>
                <w:kern w:val="0"/>
              </w:rPr>
              <w:t>=</w:t>
            </w:r>
            <w:r>
              <w:rPr>
                <w:rFonts w:hint="eastAsia" w:ascii="宋体" w:hAnsi="宋体" w:cs="宋体"/>
                <w:kern w:val="0"/>
              </w:rPr>
              <w:t>（一季度部门预算支出进度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25%</w:t>
            </w:r>
            <w:r>
              <w:rPr>
                <w:rFonts w:hint="eastAsia" w:ascii="宋体" w:hAnsi="宋体" w:cs="宋体"/>
                <w:kern w:val="0"/>
              </w:rPr>
              <w:t>）×</w:t>
            </w:r>
            <w:r>
              <w:rPr>
                <w:rFonts w:ascii="宋体" w:hAnsi="宋体" w:cs="宋体"/>
                <w:kern w:val="0"/>
              </w:rPr>
              <w:t>1</w:t>
            </w:r>
            <w:r>
              <w:rPr>
                <w:rFonts w:hint="eastAsia" w:ascii="宋体" w:hAnsi="宋体" w:cs="宋体"/>
                <w:kern w:val="0"/>
              </w:rPr>
              <w:t>分，最高得1分。</w:t>
            </w:r>
          </w:p>
          <w:p>
            <w:pPr>
              <w:widowControl/>
              <w:spacing w:line="320" w:lineRule="exact"/>
              <w:rPr>
                <w:rFonts w:ascii="宋体"/>
                <w:kern w:val="0"/>
              </w:rPr>
            </w:pPr>
            <w:r>
              <w:rPr>
                <w:rFonts w:ascii="宋体" w:hAnsi="宋体" w:cs="宋体"/>
                <w:kern w:val="0"/>
              </w:rPr>
              <w:t>2.</w:t>
            </w:r>
            <w:r>
              <w:rPr>
                <w:rFonts w:hint="eastAsia" w:ascii="宋体" w:hAnsi="宋体" w:cs="宋体"/>
                <w:kern w:val="0"/>
              </w:rPr>
              <w:t>二季度预算执行率得分</w:t>
            </w:r>
            <w:r>
              <w:rPr>
                <w:rFonts w:ascii="宋体" w:hAnsi="宋体" w:cs="宋体"/>
                <w:kern w:val="0"/>
              </w:rPr>
              <w:t>=</w:t>
            </w:r>
            <w:r>
              <w:rPr>
                <w:rFonts w:hint="eastAsia" w:ascii="宋体" w:hAnsi="宋体" w:cs="宋体"/>
                <w:kern w:val="0"/>
              </w:rPr>
              <w:t>（二季度部门预算支出进度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50%</w:t>
            </w:r>
            <w:r>
              <w:rPr>
                <w:rFonts w:hint="eastAsia" w:ascii="宋体" w:hAnsi="宋体" w:cs="宋体"/>
                <w:kern w:val="0"/>
              </w:rPr>
              <w:t>）×</w:t>
            </w:r>
            <w:r>
              <w:rPr>
                <w:rFonts w:ascii="宋体" w:hAnsi="宋体" w:cs="宋体"/>
                <w:kern w:val="0"/>
              </w:rPr>
              <w:t>1</w:t>
            </w:r>
            <w:r>
              <w:rPr>
                <w:rFonts w:hint="eastAsia" w:ascii="宋体" w:hAnsi="宋体" w:cs="宋体"/>
                <w:kern w:val="0"/>
              </w:rPr>
              <w:t>分，最高得1分。</w:t>
            </w:r>
          </w:p>
          <w:p>
            <w:pPr>
              <w:widowControl/>
              <w:spacing w:line="320" w:lineRule="exact"/>
              <w:rPr>
                <w:rFonts w:ascii="宋体"/>
                <w:kern w:val="0"/>
              </w:rPr>
            </w:pPr>
            <w:r>
              <w:rPr>
                <w:rFonts w:ascii="宋体" w:hAnsi="宋体" w:cs="宋体"/>
                <w:kern w:val="0"/>
              </w:rPr>
              <w:t>3.</w:t>
            </w:r>
            <w:r>
              <w:rPr>
                <w:rFonts w:hint="eastAsia" w:ascii="宋体" w:hAnsi="宋体" w:cs="宋体"/>
                <w:kern w:val="0"/>
              </w:rPr>
              <w:t>三季度预算执行率得分</w:t>
            </w:r>
            <w:r>
              <w:rPr>
                <w:rFonts w:ascii="宋体" w:hAnsi="宋体" w:cs="宋体"/>
                <w:kern w:val="0"/>
              </w:rPr>
              <w:t>=</w:t>
            </w:r>
            <w:r>
              <w:rPr>
                <w:rFonts w:hint="eastAsia" w:ascii="宋体" w:hAnsi="宋体" w:cs="宋体"/>
                <w:kern w:val="0"/>
              </w:rPr>
              <w:t>（三季度部门预算支出进度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75%</w:t>
            </w:r>
            <w:r>
              <w:rPr>
                <w:rFonts w:hint="eastAsia" w:ascii="宋体" w:hAnsi="宋体" w:cs="宋体"/>
                <w:kern w:val="0"/>
              </w:rPr>
              <w:t>）×</w:t>
            </w:r>
            <w:r>
              <w:rPr>
                <w:rFonts w:ascii="宋体" w:hAnsi="宋体" w:cs="宋体"/>
                <w:kern w:val="0"/>
              </w:rPr>
              <w:t>1</w:t>
            </w:r>
            <w:r>
              <w:rPr>
                <w:rFonts w:hint="eastAsia" w:ascii="宋体" w:hAnsi="宋体" w:cs="宋体"/>
                <w:kern w:val="0"/>
              </w:rPr>
              <w:t>分，最高得1分。</w:t>
            </w:r>
          </w:p>
          <w:p>
            <w:pPr>
              <w:widowControl/>
              <w:spacing w:line="320" w:lineRule="exact"/>
              <w:rPr>
                <w:rFonts w:ascii="宋体"/>
                <w:kern w:val="0"/>
              </w:rPr>
            </w:pPr>
            <w:r>
              <w:rPr>
                <w:rFonts w:ascii="宋体" w:hAnsi="宋体" w:cs="宋体"/>
                <w:kern w:val="0"/>
              </w:rPr>
              <w:t>4.</w:t>
            </w:r>
            <w:r>
              <w:rPr>
                <w:rFonts w:hint="eastAsia" w:ascii="宋体" w:hAnsi="宋体" w:cs="宋体"/>
                <w:kern w:val="0"/>
              </w:rPr>
              <w:t>四季度预算执行率得分</w:t>
            </w:r>
            <w:r>
              <w:rPr>
                <w:rFonts w:ascii="宋体" w:hAnsi="宋体" w:cs="宋体"/>
                <w:kern w:val="0"/>
              </w:rPr>
              <w:t>=</w:t>
            </w:r>
            <w:r>
              <w:rPr>
                <w:rFonts w:hint="eastAsia" w:ascii="宋体" w:hAnsi="宋体" w:cs="宋体"/>
                <w:kern w:val="0"/>
              </w:rPr>
              <w:t>（四季度部门预算支出进度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100%</w:t>
            </w:r>
            <w:r>
              <w:rPr>
                <w:rFonts w:hint="eastAsia" w:ascii="宋体" w:hAnsi="宋体" w:cs="宋体"/>
                <w:kern w:val="0"/>
              </w:rPr>
              <w:t>）×</w:t>
            </w:r>
            <w:r>
              <w:rPr>
                <w:rFonts w:ascii="宋体" w:hAnsi="宋体" w:cs="宋体"/>
                <w:kern w:val="0"/>
              </w:rPr>
              <w:t>1</w:t>
            </w:r>
            <w:r>
              <w:rPr>
                <w:rFonts w:hint="eastAsia" w:ascii="宋体" w:hAnsi="宋体" w:cs="宋体"/>
                <w:kern w:val="0"/>
              </w:rPr>
              <w:t>分，最高得1分。</w:t>
            </w:r>
          </w:p>
          <w:p>
            <w:pPr>
              <w:widowControl/>
              <w:spacing w:line="320" w:lineRule="exact"/>
              <w:rPr>
                <w:rFonts w:ascii="宋体"/>
                <w:kern w:val="0"/>
              </w:rPr>
            </w:pPr>
            <w:r>
              <w:rPr>
                <w:rFonts w:ascii="宋体" w:hAnsi="宋体" w:cs="宋体"/>
                <w:kern w:val="0"/>
              </w:rPr>
              <w:t>5.</w:t>
            </w:r>
            <w:r>
              <w:rPr>
                <w:rFonts w:hint="eastAsia" w:ascii="宋体" w:hAnsi="宋体" w:cs="宋体"/>
                <w:kern w:val="0"/>
              </w:rPr>
              <w:t>全年平均支出进度得分</w:t>
            </w:r>
            <w:r>
              <w:rPr>
                <w:rFonts w:ascii="宋体" w:hAnsi="宋体" w:cs="宋体"/>
                <w:kern w:val="0"/>
              </w:rPr>
              <w:t>=</w:t>
            </w:r>
            <w:r>
              <w:rPr>
                <w:rFonts w:hint="eastAsia" w:ascii="宋体" w:hAnsi="宋体" w:cs="宋体"/>
                <w:kern w:val="0"/>
              </w:rPr>
              <w:t>全年平均执行率×</w:t>
            </w:r>
            <w:r>
              <w:rPr>
                <w:rFonts w:ascii="宋体" w:hAnsi="宋体" w:cs="宋体"/>
                <w:kern w:val="0"/>
              </w:rPr>
              <w:t>2</w:t>
            </w:r>
            <w:r>
              <w:rPr>
                <w:rFonts w:hint="eastAsia" w:ascii="宋体" w:hAnsi="宋体" w:cs="宋体"/>
                <w:kern w:val="0"/>
              </w:rPr>
              <w:t>分，最高得</w:t>
            </w:r>
            <w:r>
              <w:rPr>
                <w:rFonts w:ascii="宋体" w:hAnsi="宋体" w:cs="宋体"/>
                <w:kern w:val="0"/>
              </w:rPr>
              <w:t>2</w:t>
            </w:r>
            <w:r>
              <w:rPr>
                <w:rFonts w:hint="eastAsia" w:ascii="宋体" w:hAnsi="宋体" w:cs="宋体"/>
                <w:kern w:val="0"/>
              </w:rPr>
              <w:t>分。</w:t>
            </w:r>
          </w:p>
          <w:p>
            <w:pPr>
              <w:widowControl/>
              <w:spacing w:line="320" w:lineRule="exact"/>
              <w:ind w:firstLine="405"/>
              <w:rPr>
                <w:rFonts w:ascii="宋体" w:hAnsi="宋体" w:cs="宋体"/>
                <w:kern w:val="0"/>
              </w:rPr>
            </w:pPr>
            <w:r>
              <w:rPr>
                <w:rFonts w:hint="eastAsia" w:ascii="宋体" w:hAnsi="宋体" w:cs="宋体"/>
                <w:kern w:val="0"/>
              </w:rPr>
              <w:t>其中：全年平均执行率</w:t>
            </w:r>
            <w:r>
              <w:rPr>
                <w:rFonts w:ascii="宋体" w:hAnsi="宋体" w:cs="宋体"/>
                <w:kern w:val="0"/>
              </w:rPr>
              <w:t>=</w:t>
            </w:r>
            <w:r>
              <w:rPr>
                <w:rFonts w:hint="eastAsia" w:ascii="宋体" w:hAnsi="宋体" w:cs="宋体"/>
                <w:kern w:val="0"/>
              </w:rPr>
              <w:t>∑（每个季度的执行率）÷</w:t>
            </w:r>
            <w:r>
              <w:rPr>
                <w:rFonts w:ascii="宋体" w:hAnsi="宋体" w:cs="宋体"/>
                <w:kern w:val="0"/>
              </w:rPr>
              <w:t>4</w:t>
            </w:r>
          </w:p>
          <w:p>
            <w:pPr>
              <w:widowControl/>
              <w:spacing w:line="320" w:lineRule="exact"/>
              <w:rPr>
                <w:rFonts w:ascii="宋体"/>
                <w:kern w:val="0"/>
              </w:rPr>
            </w:pPr>
            <w:r>
              <w:rPr>
                <w:rFonts w:hint="eastAsia" w:ascii="宋体" w:hAnsi="宋体" w:cs="宋体"/>
                <w:kern w:val="0"/>
              </w:rPr>
              <w:t>季度支出进度</w:t>
            </w:r>
            <w:r>
              <w:rPr>
                <w:rFonts w:ascii="宋体" w:hAnsi="宋体" w:cs="宋体"/>
                <w:kern w:val="0"/>
              </w:rPr>
              <w:t>=</w:t>
            </w:r>
            <w:r>
              <w:rPr>
                <w:rFonts w:hint="eastAsia" w:ascii="宋体" w:hAnsi="宋体" w:cs="宋体"/>
                <w:kern w:val="0"/>
              </w:rPr>
              <w:t>季度末月份累计支出进度（即</w:t>
            </w:r>
            <w:r>
              <w:rPr>
                <w:rFonts w:ascii="宋体" w:hAnsi="宋体" w:cs="宋体"/>
                <w:kern w:val="0"/>
              </w:rPr>
              <w:t>3</w:t>
            </w:r>
            <w:r>
              <w:rPr>
                <w:rFonts w:hint="eastAsia" w:ascii="宋体" w:hAnsi="宋体" w:cs="宋体"/>
                <w:kern w:val="0"/>
              </w:rPr>
              <w:t>、</w:t>
            </w:r>
            <w:r>
              <w:rPr>
                <w:rFonts w:ascii="宋体" w:hAnsi="宋体" w:cs="宋体"/>
                <w:kern w:val="0"/>
              </w:rPr>
              <w:t>6</w:t>
            </w:r>
            <w:r>
              <w:rPr>
                <w:rFonts w:hint="eastAsia" w:ascii="宋体" w:hAnsi="宋体" w:cs="宋体"/>
                <w:kern w:val="0"/>
              </w:rPr>
              <w:t>、</w:t>
            </w:r>
            <w:r>
              <w:rPr>
                <w:rFonts w:ascii="宋体" w:hAnsi="宋体" w:cs="宋体"/>
                <w:kern w:val="0"/>
              </w:rPr>
              <w:t>9</w:t>
            </w:r>
            <w:r>
              <w:rPr>
                <w:rFonts w:hint="eastAsia" w:ascii="宋体" w:hAnsi="宋体" w:cs="宋体"/>
                <w:kern w:val="0"/>
              </w:rPr>
              <w:t>、</w:t>
            </w:r>
            <w:r>
              <w:rPr>
                <w:rFonts w:ascii="宋体" w:hAnsi="宋体" w:cs="宋体"/>
                <w:kern w:val="0"/>
              </w:rPr>
              <w:t>12</w:t>
            </w:r>
            <w:r>
              <w:rPr>
                <w:rFonts w:hint="eastAsia" w:ascii="宋体" w:hAnsi="宋体" w:cs="宋体"/>
                <w:kern w:val="0"/>
              </w:rPr>
              <w:t>月月末支出进度）</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ascii="宋体" w:hAnsi="宋体" w:cs="宋体"/>
                <w:kern w:val="0"/>
              </w:rPr>
              <w:t>5.</w:t>
            </w:r>
            <w:r>
              <w:rPr>
                <w:rFonts w:hint="eastAsia" w:ascii="宋体" w:hAnsi="宋体" w:cs="宋体"/>
                <w:kern w:val="0"/>
              </w:rPr>
              <w:t>81</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r>
              <w:rPr>
                <w:rFonts w:hint="eastAsia" w:ascii="宋体" w:hAnsi="宋体" w:cs="宋体"/>
                <w:kern w:val="0"/>
              </w:rPr>
              <w:t>扣分原因：季度执行率分别为：20.3%、55.8%、82.1%、99.8%，全年平均执行率100%。</w:t>
            </w:r>
          </w:p>
          <w:p>
            <w:pPr>
              <w:widowControl/>
              <w:spacing w:line="320" w:lineRule="exact"/>
            </w:pPr>
            <w:r>
              <w:rPr>
                <w:rFonts w:hint="eastAsia" w:ascii="宋体" w:hAnsi="宋体" w:cs="宋体"/>
                <w:kern w:val="0"/>
              </w:rPr>
              <w:t>改进措施：加强对财政资金使用的事前、事中和事后全流程监管，及时纠偏。</w:t>
            </w:r>
          </w:p>
        </w:tc>
      </w:tr>
      <w:tr>
        <w:tblPrEx>
          <w:tblCellMar>
            <w:top w:w="0" w:type="dxa"/>
            <w:left w:w="108" w:type="dxa"/>
            <w:bottom w:w="0" w:type="dxa"/>
            <w:right w:w="108" w:type="dxa"/>
          </w:tblCellMar>
        </w:tblPrEx>
        <w:trPr>
          <w:trHeight w:val="630"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重点工作完成情况</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8</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color w:val="000000"/>
                <w:kern w:val="0"/>
              </w:rPr>
            </w:pPr>
            <w:r>
              <w:rPr>
                <w:rFonts w:hint="eastAsia" w:ascii="宋体" w:hAnsi="宋体" w:cs="宋体"/>
                <w:color w:val="000000"/>
                <w:kern w:val="0"/>
              </w:rPr>
              <w:t>部门（单位）完成党委、政府和上级部门下达或交办的重要事项或工作的完成情况，反映部门对重点工作的办理落实程度。</w:t>
            </w:r>
          </w:p>
        </w:tc>
        <w:tc>
          <w:tcPr>
            <w:tcW w:w="5812" w:type="dxa"/>
            <w:tcBorders>
              <w:top w:val="nil"/>
              <w:left w:val="nil"/>
              <w:bottom w:val="single" w:color="auto" w:sz="4" w:space="0"/>
              <w:right w:val="single" w:color="auto" w:sz="4" w:space="0"/>
            </w:tcBorders>
            <w:vAlign w:val="center"/>
          </w:tcPr>
          <w:p>
            <w:pPr>
              <w:widowControl/>
              <w:spacing w:line="320" w:lineRule="exact"/>
              <w:ind w:firstLine="420" w:firstLineChars="200"/>
              <w:rPr>
                <w:rFonts w:ascii="宋体"/>
                <w:kern w:val="0"/>
              </w:rPr>
            </w:pPr>
            <w:r>
              <w:rPr>
                <w:rFonts w:hint="eastAsia" w:ascii="宋体" w:hAnsi="宋体" w:cs="宋体"/>
                <w:kern w:val="0"/>
              </w:rPr>
              <w:t>重点工作是指中央和省、市相关部门、</w:t>
            </w:r>
            <w:r>
              <w:rPr>
                <w:rFonts w:hint="eastAsia" w:ascii="宋体" w:hAnsi="宋体" w:cs="宋体"/>
                <w:kern w:val="0"/>
                <w:lang w:eastAsia="zh-CN"/>
              </w:rPr>
              <w:t>新区党工委、管委会</w:t>
            </w:r>
            <w:r>
              <w:rPr>
                <w:rFonts w:hint="eastAsia" w:ascii="宋体" w:hAnsi="宋体" w:cs="宋体"/>
                <w:kern w:val="0"/>
              </w:rPr>
              <w:t>交办或下达的工作任务。全部按期保质保量完成得</w:t>
            </w:r>
            <w:r>
              <w:rPr>
                <w:rFonts w:ascii="宋体" w:hAnsi="宋体" w:cs="宋体"/>
                <w:kern w:val="0"/>
              </w:rPr>
              <w:t>8</w:t>
            </w:r>
            <w:r>
              <w:rPr>
                <w:rFonts w:hint="eastAsia" w:ascii="宋体" w:hAnsi="宋体" w:cs="宋体"/>
                <w:kern w:val="0"/>
              </w:rPr>
              <w:t>分；一项重点工作没有完成扣</w:t>
            </w:r>
            <w:r>
              <w:rPr>
                <w:rFonts w:ascii="宋体" w:hAnsi="宋体" w:cs="宋体"/>
                <w:kern w:val="0"/>
              </w:rPr>
              <w:t>4</w:t>
            </w:r>
            <w:r>
              <w:rPr>
                <w:rFonts w:hint="eastAsia" w:ascii="宋体" w:hAnsi="宋体" w:cs="宋体"/>
                <w:kern w:val="0"/>
              </w:rPr>
              <w:t>分，扣完为止。</w:t>
            </w:r>
          </w:p>
          <w:p>
            <w:pPr>
              <w:widowControl/>
              <w:spacing w:line="320" w:lineRule="exact"/>
              <w:rPr>
                <w:rFonts w:ascii="宋体"/>
                <w:kern w:val="0"/>
              </w:rPr>
            </w:pPr>
            <w:r>
              <w:rPr>
                <w:rFonts w:hint="eastAsia" w:ascii="宋体" w:hAnsi="宋体" w:cs="宋体"/>
                <w:kern w:val="0"/>
              </w:rPr>
              <w:t>注：重点工作完成情况可以参考</w:t>
            </w:r>
            <w:r>
              <w:rPr>
                <w:rFonts w:hint="eastAsia" w:ascii="宋体" w:hAnsi="宋体" w:cs="宋体"/>
                <w:kern w:val="0"/>
                <w:lang w:eastAsia="zh-CN"/>
              </w:rPr>
              <w:t>新区党工委、管委会</w:t>
            </w:r>
            <w:r>
              <w:rPr>
                <w:rFonts w:hint="eastAsia" w:ascii="宋体" w:hAnsi="宋体" w:cs="宋体"/>
                <w:kern w:val="0"/>
              </w:rPr>
              <w:t>督查部门或其他权威部门的统计数据（如有）。</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8</w:t>
            </w:r>
          </w:p>
        </w:tc>
        <w:tc>
          <w:tcPr>
            <w:tcW w:w="2297" w:type="dxa"/>
            <w:tcBorders>
              <w:top w:val="nil"/>
              <w:left w:val="nil"/>
              <w:bottom w:val="single" w:color="auto" w:sz="4" w:space="0"/>
              <w:right w:val="single" w:color="auto" w:sz="4" w:space="0"/>
            </w:tcBorders>
          </w:tcPr>
          <w:p>
            <w:pPr>
              <w:widowControl/>
              <w:spacing w:line="32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1158"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sz w:val="18"/>
                <w:szCs w:val="18"/>
              </w:rPr>
            </w:pPr>
            <w:r>
              <w:rPr>
                <w:rFonts w:hint="eastAsia" w:ascii="宋体" w:hAnsi="宋体" w:cs="宋体"/>
                <w:kern w:val="0"/>
              </w:rPr>
              <w:t>项目完成及时性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sz w:val="18"/>
                <w:szCs w:val="18"/>
              </w:rPr>
            </w:pPr>
            <w:r>
              <w:rPr>
                <w:rFonts w:hint="eastAsia" w:ascii="宋体" w:hAnsi="宋体" w:cs="宋体"/>
                <w:kern w:val="0"/>
              </w:rPr>
              <w:t>部门（单位）项目完成情况与预期时间对比的情况。</w:t>
            </w:r>
          </w:p>
        </w:tc>
        <w:tc>
          <w:tcPr>
            <w:tcW w:w="5812" w:type="dxa"/>
            <w:tcBorders>
              <w:top w:val="nil"/>
              <w:left w:val="nil"/>
              <w:bottom w:val="single" w:color="auto" w:sz="4" w:space="0"/>
              <w:right w:val="single" w:color="auto" w:sz="4" w:space="0"/>
            </w:tcBorders>
            <w:vAlign w:val="center"/>
          </w:tcPr>
          <w:p>
            <w:pPr>
              <w:widowControl/>
              <w:spacing w:line="320" w:lineRule="exact"/>
              <w:ind w:firstLine="420" w:firstLineChars="200"/>
              <w:rPr>
                <w:rFonts w:ascii="宋体"/>
                <w:kern w:val="0"/>
                <w:sz w:val="18"/>
                <w:szCs w:val="18"/>
              </w:rPr>
            </w:pPr>
            <w:r>
              <w:rPr>
                <w:rFonts w:ascii="宋体" w:hAnsi="宋体" w:cs="宋体"/>
                <w:kern w:val="0"/>
              </w:rPr>
              <w:t>1.</w:t>
            </w:r>
            <w:r>
              <w:rPr>
                <w:rFonts w:hint="eastAsia" w:ascii="宋体" w:hAnsi="宋体" w:cs="宋体"/>
                <w:kern w:val="0"/>
              </w:rPr>
              <w:t>所有部门预算安排的项目均按计划时间完成（</w:t>
            </w:r>
            <w:r>
              <w:rPr>
                <w:rFonts w:ascii="宋体" w:hAnsi="宋体" w:cs="宋体"/>
                <w:kern w:val="0"/>
              </w:rPr>
              <w:t>6</w:t>
            </w:r>
            <w:r>
              <w:rPr>
                <w:rFonts w:hint="eastAsia" w:ascii="宋体" w:hAnsi="宋体" w:cs="宋体"/>
                <w:kern w:val="0"/>
              </w:rPr>
              <w:t>分）；</w:t>
            </w:r>
          </w:p>
          <w:p>
            <w:pPr>
              <w:widowControl/>
              <w:spacing w:line="320" w:lineRule="exact"/>
              <w:ind w:firstLine="420" w:firstLineChars="200"/>
              <w:rPr>
                <w:rFonts w:ascii="宋体"/>
                <w:kern w:val="0"/>
                <w:sz w:val="18"/>
                <w:szCs w:val="18"/>
              </w:rPr>
            </w:pPr>
            <w:r>
              <w:rPr>
                <w:rFonts w:ascii="宋体" w:hAnsi="宋体" w:cs="宋体"/>
                <w:kern w:val="0"/>
              </w:rPr>
              <w:t>2.</w:t>
            </w:r>
            <w:r>
              <w:rPr>
                <w:rFonts w:hint="eastAsia" w:ascii="宋体" w:hAnsi="宋体" w:cs="宋体"/>
                <w:kern w:val="0"/>
              </w:rPr>
              <w:t>部分项目未按计划时间完成的，本指标得分</w:t>
            </w:r>
            <w:r>
              <w:rPr>
                <w:rFonts w:ascii="宋体" w:hAnsi="宋体" w:cs="宋体"/>
                <w:kern w:val="0"/>
              </w:rPr>
              <w:t>=</w:t>
            </w:r>
            <w:r>
              <w:rPr>
                <w:rFonts w:hint="eastAsia" w:ascii="宋体" w:hAnsi="宋体" w:cs="宋体"/>
                <w:kern w:val="0"/>
              </w:rPr>
              <w:t>已完成项目数</w:t>
            </w:r>
            <w:r>
              <w:rPr>
                <w:rFonts w:ascii="宋体" w:hAnsi="宋体" w:cs="宋体"/>
                <w:kern w:val="0"/>
              </w:rPr>
              <w:t>/</w:t>
            </w:r>
            <w:r>
              <w:rPr>
                <w:rFonts w:hint="eastAsia" w:ascii="宋体" w:hAnsi="宋体" w:cs="宋体"/>
                <w:kern w:val="0"/>
              </w:rPr>
              <w:t>计划完成项目总数×</w:t>
            </w:r>
            <w:r>
              <w:rPr>
                <w:rFonts w:ascii="宋体" w:hAnsi="宋体" w:cs="宋体"/>
                <w:kern w:val="0"/>
              </w:rPr>
              <w:t>6</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6</w:t>
            </w:r>
          </w:p>
        </w:tc>
        <w:tc>
          <w:tcPr>
            <w:tcW w:w="2297" w:type="dxa"/>
            <w:tcBorders>
              <w:top w:val="nil"/>
              <w:left w:val="nil"/>
              <w:bottom w:val="single" w:color="auto" w:sz="4" w:space="0"/>
              <w:right w:val="single" w:color="auto" w:sz="4" w:space="0"/>
            </w:tcBorders>
          </w:tcPr>
          <w:p>
            <w:pPr>
              <w:widowControl/>
              <w:spacing w:line="32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1289"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效果性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20</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社会、经济、生态效益及可持续影响等</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20</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部门（单位）履行职责、完成各项重大政策和项目的效果，以及对经济发展、社会发展、生态环境所带来的直接或间接影响。</w:t>
            </w:r>
          </w:p>
        </w:tc>
        <w:tc>
          <w:tcPr>
            <w:tcW w:w="5812" w:type="dxa"/>
            <w:tcBorders>
              <w:top w:val="nil"/>
              <w:left w:val="nil"/>
              <w:bottom w:val="single" w:color="auto" w:sz="4" w:space="0"/>
              <w:right w:val="single" w:color="auto" w:sz="4" w:space="0"/>
            </w:tcBorders>
            <w:vAlign w:val="center"/>
          </w:tcPr>
          <w:p>
            <w:pPr>
              <w:widowControl/>
              <w:spacing w:line="320" w:lineRule="exact"/>
              <w:ind w:firstLine="405"/>
            </w:pPr>
            <w:r>
              <w:rPr>
                <w:rFonts w:hint="eastAsia"/>
              </w:rPr>
              <w:t>根据部门（单位）职责，结合部门整体支出绩效目标，合理设置个性化绩效指标，通过绩效指标完成情况与目标值对比分析进行评分，未实现绩效目标的酌情扣分。</w:t>
            </w:r>
          </w:p>
          <w:p>
            <w:pPr>
              <w:widowControl/>
              <w:spacing w:line="320" w:lineRule="exact"/>
              <w:ind w:firstLine="405"/>
            </w:pPr>
            <w:r>
              <w:rPr>
                <w:rFonts w:hint="eastAsia"/>
              </w:rPr>
              <w:t>根据部门（部门）履职内容和性质，从社会效益、经济效益、生态效益、可持续影响等方面，至少选择三个方面对工作实效和效益进行评价。</w:t>
            </w:r>
          </w:p>
          <w:p>
            <w:pPr>
              <w:pStyle w:val="2"/>
              <w:numPr>
                <w:ilvl w:val="0"/>
                <w:numId w:val="1"/>
              </w:numPr>
              <w:ind w:firstLine="210"/>
              <w:jc w:val="left"/>
              <w:rPr>
                <w:rFonts w:ascii="Times New Roman" w:hAnsi="Times New Roman" w:eastAsia="宋体" w:cs="Times New Roman"/>
                <w:sz w:val="21"/>
                <w:szCs w:val="24"/>
              </w:rPr>
            </w:pPr>
            <w:r>
              <w:rPr>
                <w:rFonts w:hint="eastAsia" w:ascii="Times New Roman" w:hAnsi="Times New Roman" w:eastAsia="宋体" w:cs="Times New Roman"/>
                <w:sz w:val="21"/>
                <w:szCs w:val="24"/>
              </w:rPr>
              <w:t>加大常规教学管理力度，全面提高教学质量，实现师生共同成长（2.5分）；</w:t>
            </w:r>
          </w:p>
          <w:p>
            <w:pPr>
              <w:pStyle w:val="2"/>
              <w:numPr>
                <w:ilvl w:val="0"/>
                <w:numId w:val="1"/>
              </w:numPr>
              <w:ind w:firstLine="210"/>
              <w:jc w:val="left"/>
              <w:rPr>
                <w:rFonts w:ascii="Times New Roman" w:hAnsi="Times New Roman" w:eastAsia="宋体" w:cs="Times New Roman"/>
                <w:sz w:val="21"/>
                <w:szCs w:val="24"/>
              </w:rPr>
            </w:pPr>
            <w:r>
              <w:rPr>
                <w:rFonts w:hint="eastAsia" w:ascii="Times New Roman" w:hAnsi="Times New Roman" w:eastAsia="宋体" w:cs="Times New Roman"/>
                <w:sz w:val="21"/>
                <w:szCs w:val="24"/>
              </w:rPr>
              <w:t>落实“科研强校，科研兴教”的工作理念，切实提高老师的科研能力（2.5分）；</w:t>
            </w:r>
          </w:p>
          <w:p>
            <w:pPr>
              <w:pStyle w:val="2"/>
              <w:numPr>
                <w:ilvl w:val="0"/>
                <w:numId w:val="1"/>
              </w:numPr>
              <w:ind w:firstLine="210"/>
              <w:jc w:val="left"/>
              <w:rPr>
                <w:rFonts w:ascii="Times New Roman" w:hAnsi="Times New Roman" w:eastAsia="宋体" w:cs="Times New Roman"/>
                <w:sz w:val="21"/>
                <w:szCs w:val="24"/>
              </w:rPr>
            </w:pPr>
            <w:r>
              <w:rPr>
                <w:rFonts w:hint="eastAsia" w:ascii="Times New Roman" w:hAnsi="Times New Roman" w:eastAsia="宋体" w:cs="Times New Roman"/>
                <w:sz w:val="21"/>
                <w:szCs w:val="24"/>
              </w:rPr>
              <w:t>加强德育队伍建设，重视学生品德教育，将立德树人落到实处，保障学生健康成长（2.5分）；</w:t>
            </w:r>
          </w:p>
          <w:p>
            <w:pPr>
              <w:pStyle w:val="2"/>
              <w:numPr>
                <w:ilvl w:val="0"/>
                <w:numId w:val="1"/>
              </w:numPr>
              <w:ind w:firstLine="210"/>
              <w:jc w:val="left"/>
              <w:rPr>
                <w:rFonts w:ascii="Times New Roman" w:hAnsi="Times New Roman" w:eastAsia="宋体" w:cs="Times New Roman"/>
                <w:sz w:val="21"/>
                <w:szCs w:val="24"/>
              </w:rPr>
            </w:pPr>
            <w:r>
              <w:rPr>
                <w:rFonts w:hint="eastAsia" w:ascii="Times New Roman" w:hAnsi="Times New Roman" w:eastAsia="宋体" w:cs="Times New Roman"/>
                <w:sz w:val="21"/>
                <w:szCs w:val="24"/>
              </w:rPr>
              <w:t>稳抓校园疫情防控和校园安全工作，校园安全零事故，保障全校师生生命安全（2.5分）；</w:t>
            </w:r>
          </w:p>
          <w:p>
            <w:pPr>
              <w:pStyle w:val="2"/>
              <w:numPr>
                <w:ilvl w:val="0"/>
                <w:numId w:val="1"/>
              </w:numPr>
              <w:ind w:firstLine="210"/>
              <w:jc w:val="left"/>
              <w:rPr>
                <w:rFonts w:ascii="Times New Roman" w:hAnsi="Times New Roman" w:eastAsia="宋体" w:cs="Times New Roman"/>
                <w:sz w:val="21"/>
                <w:szCs w:val="24"/>
              </w:rPr>
            </w:pPr>
            <w:r>
              <w:rPr>
                <w:rFonts w:hint="eastAsia" w:ascii="Times New Roman" w:hAnsi="Times New Roman" w:eastAsia="宋体" w:cs="Times New Roman"/>
                <w:sz w:val="21"/>
                <w:szCs w:val="24"/>
              </w:rPr>
              <w:t>提升学校</w:t>
            </w:r>
            <w:r>
              <w:rPr>
                <w:rFonts w:hint="eastAsia" w:ascii="Times New Roman" w:hAnsi="Times New Roman" w:eastAsia="宋体" w:cs="Times New Roman"/>
                <w:sz w:val="21"/>
                <w:szCs w:val="24"/>
                <w:lang w:val="en-US" w:eastAsia="zh-CN"/>
              </w:rPr>
              <w:t>后勤</w:t>
            </w:r>
            <w:r>
              <w:rPr>
                <w:rFonts w:hint="eastAsia" w:ascii="Times New Roman" w:hAnsi="Times New Roman" w:eastAsia="宋体" w:cs="Times New Roman"/>
                <w:sz w:val="21"/>
                <w:szCs w:val="24"/>
              </w:rPr>
              <w:t>服务能力，有效发挥学校后勤服务于教学，服务于师生的作用（2.5分）；</w:t>
            </w:r>
          </w:p>
          <w:p>
            <w:pPr>
              <w:pStyle w:val="2"/>
              <w:numPr>
                <w:ilvl w:val="0"/>
                <w:numId w:val="1"/>
              </w:numPr>
              <w:ind w:firstLine="210"/>
              <w:jc w:val="left"/>
              <w:rPr>
                <w:rFonts w:ascii="Times New Roman" w:hAnsi="Times New Roman" w:eastAsia="宋体" w:cs="Times New Roman"/>
                <w:sz w:val="21"/>
                <w:szCs w:val="24"/>
              </w:rPr>
            </w:pPr>
            <w:r>
              <w:rPr>
                <w:rFonts w:hint="eastAsia" w:ascii="Times New Roman" w:hAnsi="Times New Roman" w:eastAsia="宋体" w:cs="Times New Roman"/>
                <w:sz w:val="21"/>
                <w:szCs w:val="24"/>
              </w:rPr>
              <w:t>积极开展“不忘初心、牢记使命”主题教育，提高党员队伍和教师队伍建设，进一步提高学校党建工作及党员素养（2.5分）；</w:t>
            </w:r>
          </w:p>
          <w:p>
            <w:pPr>
              <w:pStyle w:val="2"/>
              <w:numPr>
                <w:ilvl w:val="0"/>
                <w:numId w:val="1"/>
              </w:numPr>
              <w:ind w:firstLine="210"/>
              <w:jc w:val="left"/>
              <w:rPr>
                <w:rFonts w:ascii="Times New Roman" w:hAnsi="Times New Roman" w:eastAsia="宋体" w:cs="Times New Roman"/>
                <w:sz w:val="21"/>
                <w:szCs w:val="24"/>
              </w:rPr>
            </w:pPr>
            <w:r>
              <w:rPr>
                <w:rFonts w:hint="eastAsia" w:ascii="Times New Roman" w:hAnsi="Times New Roman" w:eastAsia="宋体" w:cs="Times New Roman"/>
                <w:sz w:val="21"/>
                <w:szCs w:val="24"/>
              </w:rPr>
              <w:t>积极开展各项活动，深化少先队素质教育，促进少先队建设上新台阶（2.5分）；</w:t>
            </w:r>
          </w:p>
          <w:p>
            <w:pPr>
              <w:pStyle w:val="2"/>
              <w:numPr>
                <w:ilvl w:val="0"/>
                <w:numId w:val="1"/>
              </w:numPr>
              <w:ind w:firstLine="210"/>
              <w:jc w:val="left"/>
              <w:rPr>
                <w:rFonts w:ascii="Times New Roman" w:hAnsi="Times New Roman" w:eastAsia="宋体" w:cs="Times New Roman"/>
                <w:sz w:val="21"/>
                <w:szCs w:val="24"/>
              </w:rPr>
            </w:pPr>
            <w:r>
              <w:rPr>
                <w:rFonts w:hint="eastAsia" w:ascii="Times New Roman" w:hAnsi="Times New Roman" w:eastAsia="宋体" w:cs="Times New Roman"/>
                <w:sz w:val="21"/>
                <w:szCs w:val="24"/>
              </w:rPr>
              <w:t>提升学校行政服务能力，促进学校各个业务部门之间的综合协调（2.5分）。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20</w:t>
            </w:r>
          </w:p>
        </w:tc>
        <w:tc>
          <w:tcPr>
            <w:tcW w:w="2297" w:type="dxa"/>
            <w:tcBorders>
              <w:top w:val="nil"/>
              <w:left w:val="nil"/>
              <w:bottom w:val="single" w:color="auto" w:sz="4" w:space="0"/>
              <w:right w:val="single" w:color="auto" w:sz="4" w:space="0"/>
            </w:tcBorders>
          </w:tcPr>
          <w:p>
            <w:pPr>
              <w:widowControl/>
              <w:spacing w:line="320" w:lineRule="exact"/>
              <w:ind w:firstLine="405"/>
              <w:rPr>
                <w:rFonts w:ascii="宋体" w:hAnsi="宋体" w:cs="宋体"/>
                <w:kern w:val="0"/>
              </w:rPr>
            </w:pPr>
          </w:p>
        </w:tc>
      </w:tr>
      <w:tr>
        <w:tblPrEx>
          <w:tblCellMar>
            <w:top w:w="0" w:type="dxa"/>
            <w:left w:w="108" w:type="dxa"/>
            <w:bottom w:w="0" w:type="dxa"/>
            <w:right w:w="108" w:type="dxa"/>
          </w:tblCellMar>
        </w:tblPrEx>
        <w:trPr>
          <w:trHeight w:val="1214"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公平性</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9</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群众信访办理情况</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部门（单位）对群众信访意见的完成情况及及时性，反映部门（单位）对服务群众的重视程度。</w:t>
            </w:r>
          </w:p>
        </w:tc>
        <w:tc>
          <w:tcPr>
            <w:tcW w:w="5812" w:type="dxa"/>
            <w:tcBorders>
              <w:top w:val="nil"/>
              <w:left w:val="nil"/>
              <w:bottom w:val="single" w:color="auto" w:sz="4" w:space="0"/>
              <w:right w:val="single" w:color="auto" w:sz="4" w:space="0"/>
            </w:tcBorders>
            <w:vAlign w:val="center"/>
          </w:tcPr>
          <w:p>
            <w:pPr>
              <w:widowControl/>
              <w:spacing w:line="320" w:lineRule="exact"/>
              <w:ind w:firstLine="315" w:firstLineChars="150"/>
              <w:rPr>
                <w:rFonts w:ascii="宋体"/>
                <w:kern w:val="0"/>
              </w:rPr>
            </w:pPr>
            <w:r>
              <w:rPr>
                <w:rFonts w:ascii="宋体" w:hAnsi="宋体" w:cs="宋体"/>
                <w:kern w:val="0"/>
              </w:rPr>
              <w:t>1.</w:t>
            </w:r>
            <w:r>
              <w:rPr>
                <w:rFonts w:hint="eastAsia" w:ascii="宋体" w:hAnsi="宋体" w:cs="宋体"/>
                <w:kern w:val="0"/>
              </w:rPr>
              <w:t>建立了便利的群众意见反映渠道和群众意见办理回复机制（</w:t>
            </w:r>
            <w:r>
              <w:rPr>
                <w:rFonts w:ascii="宋体" w:hAnsi="宋体" w:cs="宋体"/>
                <w:kern w:val="0"/>
              </w:rPr>
              <w:t>1</w:t>
            </w:r>
            <w:r>
              <w:rPr>
                <w:rFonts w:hint="eastAsia" w:ascii="宋体" w:hAnsi="宋体" w:cs="宋体"/>
                <w:kern w:val="0"/>
              </w:rPr>
              <w:t>分）；</w:t>
            </w:r>
          </w:p>
          <w:p>
            <w:pPr>
              <w:widowControl/>
              <w:spacing w:line="320" w:lineRule="exact"/>
              <w:ind w:firstLine="315" w:firstLineChars="150"/>
              <w:rPr>
                <w:rFonts w:ascii="宋体"/>
                <w:kern w:val="0"/>
              </w:rPr>
            </w:pPr>
            <w:r>
              <w:rPr>
                <w:rFonts w:ascii="宋体" w:hAnsi="宋体" w:cs="宋体"/>
                <w:kern w:val="0"/>
              </w:rPr>
              <w:t>2.</w:t>
            </w:r>
            <w:r>
              <w:rPr>
                <w:rFonts w:hint="eastAsia" w:ascii="宋体" w:hAnsi="宋体" w:cs="宋体"/>
                <w:kern w:val="0"/>
              </w:rPr>
              <w:t>当年度群众信访办理回复率达</w:t>
            </w:r>
            <w:r>
              <w:rPr>
                <w:rFonts w:ascii="宋体" w:hAnsi="宋体" w:cs="宋体"/>
                <w:kern w:val="0"/>
              </w:rPr>
              <w:t>100%</w:t>
            </w:r>
            <w:r>
              <w:rPr>
                <w:rFonts w:hint="eastAsia" w:ascii="宋体" w:hAnsi="宋体" w:cs="宋体"/>
                <w:kern w:val="0"/>
              </w:rPr>
              <w:t>（</w:t>
            </w:r>
            <w:r>
              <w:rPr>
                <w:rFonts w:ascii="宋体" w:hAnsi="宋体" w:cs="宋体"/>
                <w:kern w:val="0"/>
              </w:rPr>
              <w:t>1</w:t>
            </w:r>
            <w:r>
              <w:rPr>
                <w:rFonts w:hint="eastAsia" w:ascii="宋体" w:hAnsi="宋体" w:cs="宋体"/>
                <w:kern w:val="0"/>
              </w:rPr>
              <w:t>分）；</w:t>
            </w:r>
          </w:p>
          <w:p>
            <w:pPr>
              <w:widowControl/>
              <w:spacing w:line="320" w:lineRule="exact"/>
              <w:ind w:firstLine="315" w:firstLineChars="150"/>
              <w:rPr>
                <w:rFonts w:ascii="宋体"/>
                <w:kern w:val="0"/>
              </w:rPr>
            </w:pPr>
            <w:r>
              <w:rPr>
                <w:rFonts w:ascii="宋体" w:hAnsi="宋体" w:cs="宋体"/>
                <w:kern w:val="0"/>
              </w:rPr>
              <w:t>3.</w:t>
            </w:r>
            <w:r>
              <w:rPr>
                <w:rFonts w:hint="eastAsia" w:ascii="宋体" w:hAnsi="宋体" w:cs="宋体"/>
                <w:kern w:val="0"/>
              </w:rPr>
              <w:t>当年度群众信访及时办理回复率达</w:t>
            </w:r>
            <w:r>
              <w:rPr>
                <w:rFonts w:ascii="宋体" w:hAnsi="宋体" w:cs="宋体"/>
                <w:kern w:val="0"/>
              </w:rPr>
              <w:t>100%</w:t>
            </w:r>
            <w:r>
              <w:rPr>
                <w:rFonts w:hint="eastAsia" w:ascii="宋体" w:hAnsi="宋体" w:cs="宋体"/>
                <w:kern w:val="0"/>
              </w:rPr>
              <w:t>，未发生超期（</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3</w:t>
            </w:r>
          </w:p>
        </w:tc>
        <w:tc>
          <w:tcPr>
            <w:tcW w:w="2297" w:type="dxa"/>
            <w:tcBorders>
              <w:top w:val="nil"/>
              <w:left w:val="nil"/>
              <w:bottom w:val="single" w:color="auto" w:sz="4" w:space="0"/>
              <w:right w:val="single" w:color="auto" w:sz="4" w:space="0"/>
            </w:tcBorders>
          </w:tcPr>
          <w:p>
            <w:pPr>
              <w:widowControl/>
              <w:spacing w:line="320" w:lineRule="exact"/>
              <w:ind w:firstLine="315" w:firstLineChars="150"/>
              <w:rPr>
                <w:rFonts w:ascii="宋体" w:hAnsi="宋体" w:cs="宋体"/>
                <w:kern w:val="0"/>
              </w:rPr>
            </w:pPr>
          </w:p>
        </w:tc>
      </w:tr>
      <w:tr>
        <w:tblPrEx>
          <w:tblCellMar>
            <w:top w:w="0" w:type="dxa"/>
            <w:left w:w="108" w:type="dxa"/>
            <w:bottom w:w="0" w:type="dxa"/>
            <w:right w:w="108" w:type="dxa"/>
          </w:tblCellMar>
        </w:tblPrEx>
        <w:trPr>
          <w:trHeight w:val="1401" w:hRule="atLeast"/>
        </w:trPr>
        <w:tc>
          <w:tcPr>
            <w:tcW w:w="577" w:type="dxa"/>
            <w:vMerge w:val="continue"/>
            <w:tcBorders>
              <w:top w:val="nil"/>
              <w:left w:val="single" w:color="auto" w:sz="4" w:space="0"/>
              <w:bottom w:val="nil"/>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nil"/>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nil"/>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nil"/>
              <w:right w:val="single" w:color="auto" w:sz="4" w:space="0"/>
            </w:tcBorders>
            <w:vAlign w:val="center"/>
          </w:tcPr>
          <w:p>
            <w:pPr>
              <w:widowControl/>
              <w:spacing w:line="320" w:lineRule="exact"/>
              <w:jc w:val="left"/>
              <w:rPr>
                <w:rFonts w:ascii="宋体"/>
                <w:kern w:val="0"/>
              </w:rPr>
            </w:pPr>
          </w:p>
        </w:tc>
        <w:tc>
          <w:tcPr>
            <w:tcW w:w="851" w:type="dxa"/>
            <w:tcBorders>
              <w:top w:val="nil"/>
              <w:left w:val="nil"/>
              <w:bottom w:val="nil"/>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公众或服务对象满意度</w:t>
            </w:r>
          </w:p>
        </w:tc>
        <w:tc>
          <w:tcPr>
            <w:tcW w:w="567" w:type="dxa"/>
            <w:tcBorders>
              <w:top w:val="nil"/>
              <w:left w:val="nil"/>
              <w:bottom w:val="nil"/>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nil"/>
              <w:right w:val="single" w:color="auto" w:sz="4" w:space="0"/>
            </w:tcBorders>
            <w:vAlign w:val="center"/>
          </w:tcPr>
          <w:p>
            <w:pPr>
              <w:widowControl/>
              <w:spacing w:line="320" w:lineRule="exact"/>
              <w:rPr>
                <w:rFonts w:ascii="宋体"/>
                <w:kern w:val="0"/>
              </w:rPr>
            </w:pPr>
            <w:r>
              <w:rPr>
                <w:rFonts w:hint="eastAsia" w:ascii="宋体" w:hAnsi="宋体" w:cs="宋体"/>
                <w:kern w:val="0"/>
              </w:rPr>
              <w:t>反映社会公众或部门（单位）的服务对象对部门履职效果的满意度。</w:t>
            </w:r>
          </w:p>
        </w:tc>
        <w:tc>
          <w:tcPr>
            <w:tcW w:w="5812" w:type="dxa"/>
            <w:tcBorders>
              <w:top w:val="nil"/>
              <w:left w:val="nil"/>
              <w:bottom w:val="nil"/>
              <w:right w:val="single" w:color="auto" w:sz="4" w:space="0"/>
            </w:tcBorders>
            <w:vAlign w:val="center"/>
          </w:tcPr>
          <w:p>
            <w:pPr>
              <w:widowControl/>
              <w:spacing w:line="320" w:lineRule="exact"/>
              <w:ind w:firstLine="420"/>
              <w:rPr>
                <w:rFonts w:ascii="宋体"/>
                <w:kern w:val="0"/>
              </w:rPr>
            </w:pPr>
            <w:r>
              <w:rPr>
                <w:rFonts w:hint="eastAsia" w:ascii="宋体" w:hAnsi="宋体" w:cs="宋体"/>
                <w:kern w:val="0"/>
              </w:rPr>
              <w:t>社会公众或服务对象是指部门（单位）履行职责而影响到的部门、群体或个人，一般采取社会调查的方式。如难以单独开展满意度调查的，可参考区统计部门的数据、年度区直民主评议政风行风评价结果等数据，或者参考群众信访反馈的普遍性问题、本部门或权威第三方机构的开展满意度调查等进行分档计分。</w:t>
            </w:r>
          </w:p>
          <w:p>
            <w:pPr>
              <w:widowControl/>
              <w:spacing w:line="320" w:lineRule="exact"/>
              <w:ind w:firstLine="420"/>
              <w:rPr>
                <w:rFonts w:ascii="宋体"/>
                <w:kern w:val="0"/>
              </w:rPr>
            </w:pPr>
            <w:r>
              <w:rPr>
                <w:rFonts w:ascii="宋体" w:hAnsi="宋体" w:cs="宋体"/>
                <w:kern w:val="0"/>
              </w:rPr>
              <w:t>1.</w:t>
            </w:r>
            <w:r>
              <w:rPr>
                <w:rFonts w:hint="eastAsia" w:ascii="宋体" w:hAnsi="宋体" w:cs="宋体"/>
                <w:kern w:val="0"/>
              </w:rPr>
              <w:t>满意度≥</w:t>
            </w:r>
            <w:r>
              <w:rPr>
                <w:rFonts w:ascii="宋体" w:hAnsi="宋体" w:cs="宋体"/>
                <w:kern w:val="0"/>
              </w:rPr>
              <w:t>95%</w:t>
            </w:r>
            <w:r>
              <w:rPr>
                <w:rFonts w:hint="eastAsia" w:ascii="宋体" w:hAnsi="宋体" w:cs="宋体"/>
                <w:kern w:val="0"/>
              </w:rPr>
              <w:t>的，得</w:t>
            </w:r>
            <w:r>
              <w:rPr>
                <w:rFonts w:ascii="宋体" w:hAnsi="宋体" w:cs="宋体"/>
                <w:kern w:val="0"/>
              </w:rPr>
              <w:t>6</w:t>
            </w:r>
            <w:r>
              <w:rPr>
                <w:rFonts w:hint="eastAsia" w:ascii="宋体" w:hAnsi="宋体" w:cs="宋体"/>
                <w:kern w:val="0"/>
              </w:rPr>
              <w:t>分；</w:t>
            </w:r>
          </w:p>
          <w:p>
            <w:pPr>
              <w:widowControl/>
              <w:spacing w:line="320" w:lineRule="exact"/>
              <w:ind w:firstLine="420"/>
              <w:rPr>
                <w:rFonts w:ascii="宋体"/>
                <w:kern w:val="0"/>
              </w:rPr>
            </w:pPr>
            <w:r>
              <w:rPr>
                <w:rFonts w:ascii="宋体" w:cs="宋体"/>
                <w:kern w:val="0"/>
              </w:rPr>
              <w:t>2.</w:t>
            </w:r>
            <w:r>
              <w:rPr>
                <w:rFonts w:ascii="宋体" w:hAnsi="宋体" w:cs="宋体"/>
                <w:kern w:val="0"/>
              </w:rPr>
              <w:t xml:space="preserve"> 90%</w:t>
            </w:r>
            <w:r>
              <w:rPr>
                <w:rFonts w:hint="eastAsia" w:ascii="宋体" w:hAnsi="宋体" w:cs="宋体"/>
                <w:kern w:val="0"/>
              </w:rPr>
              <w:t>≤满意度＜</w:t>
            </w:r>
            <w:r>
              <w:rPr>
                <w:rFonts w:ascii="宋体" w:hAnsi="宋体" w:cs="宋体"/>
                <w:kern w:val="0"/>
              </w:rPr>
              <w:t>95%</w:t>
            </w:r>
            <w:r>
              <w:rPr>
                <w:rFonts w:hint="eastAsia" w:ascii="宋体" w:hAnsi="宋体" w:cs="宋体"/>
                <w:kern w:val="0"/>
              </w:rPr>
              <w:t>的，得</w:t>
            </w:r>
            <w:r>
              <w:rPr>
                <w:rFonts w:ascii="宋体" w:hAnsi="宋体" w:cs="宋体"/>
                <w:kern w:val="0"/>
              </w:rPr>
              <w:t>4</w:t>
            </w:r>
            <w:r>
              <w:rPr>
                <w:rFonts w:hint="eastAsia" w:ascii="宋体" w:hAnsi="宋体" w:cs="宋体"/>
                <w:kern w:val="0"/>
              </w:rPr>
              <w:t>分；</w:t>
            </w:r>
          </w:p>
          <w:p>
            <w:pPr>
              <w:widowControl/>
              <w:spacing w:line="320" w:lineRule="exact"/>
              <w:ind w:firstLine="420"/>
              <w:rPr>
                <w:rFonts w:ascii="宋体"/>
                <w:kern w:val="0"/>
              </w:rPr>
            </w:pPr>
            <w:r>
              <w:rPr>
                <w:rFonts w:ascii="宋体" w:hAnsi="宋体" w:cs="宋体"/>
                <w:kern w:val="0"/>
              </w:rPr>
              <w:t>3. 80%</w:t>
            </w:r>
            <w:r>
              <w:rPr>
                <w:rFonts w:hint="eastAsia" w:ascii="宋体" w:hAnsi="宋体" w:cs="宋体"/>
                <w:kern w:val="0"/>
              </w:rPr>
              <w:t>≤满意度＜</w:t>
            </w:r>
            <w:r>
              <w:rPr>
                <w:rFonts w:ascii="宋体" w:hAnsi="宋体" w:cs="宋体"/>
                <w:kern w:val="0"/>
              </w:rPr>
              <w:t>90%</w:t>
            </w:r>
            <w:r>
              <w:rPr>
                <w:rFonts w:hint="eastAsia" w:ascii="宋体" w:hAnsi="宋体" w:cs="宋体"/>
                <w:kern w:val="0"/>
              </w:rPr>
              <w:t>的，得</w:t>
            </w:r>
            <w:r>
              <w:rPr>
                <w:rFonts w:ascii="宋体" w:hAnsi="宋体" w:cs="宋体"/>
                <w:kern w:val="0"/>
              </w:rPr>
              <w:t>2</w:t>
            </w:r>
            <w:r>
              <w:rPr>
                <w:rFonts w:hint="eastAsia" w:ascii="宋体" w:hAnsi="宋体" w:cs="宋体"/>
                <w:kern w:val="0"/>
              </w:rPr>
              <w:t>分；</w:t>
            </w:r>
          </w:p>
          <w:p>
            <w:pPr>
              <w:widowControl/>
              <w:spacing w:line="320" w:lineRule="exact"/>
              <w:ind w:firstLine="420"/>
              <w:rPr>
                <w:rFonts w:ascii="宋体"/>
                <w:kern w:val="0"/>
              </w:rPr>
            </w:pPr>
            <w:r>
              <w:rPr>
                <w:rFonts w:ascii="宋体" w:hAnsi="宋体" w:cs="宋体"/>
                <w:kern w:val="0"/>
              </w:rPr>
              <w:t xml:space="preserve">4. </w:t>
            </w:r>
            <w:r>
              <w:rPr>
                <w:rFonts w:hint="eastAsia" w:ascii="宋体" w:hAnsi="宋体" w:cs="宋体"/>
                <w:kern w:val="0"/>
              </w:rPr>
              <w:t>满意度＜</w:t>
            </w:r>
            <w:r>
              <w:rPr>
                <w:rFonts w:ascii="宋体" w:hAnsi="宋体" w:cs="宋体"/>
                <w:kern w:val="0"/>
              </w:rPr>
              <w:t>80%</w:t>
            </w:r>
            <w:r>
              <w:rPr>
                <w:rFonts w:hint="eastAsia" w:ascii="宋体" w:hAnsi="宋体" w:cs="宋体"/>
                <w:kern w:val="0"/>
              </w:rPr>
              <w:t>的，得</w:t>
            </w:r>
            <w:r>
              <w:rPr>
                <w:rFonts w:ascii="宋体" w:hAnsi="宋体" w:cs="宋体"/>
                <w:kern w:val="0"/>
              </w:rPr>
              <w:t>1</w:t>
            </w:r>
            <w:r>
              <w:rPr>
                <w:rFonts w:hint="eastAsia" w:ascii="宋体" w:hAnsi="宋体" w:cs="宋体"/>
                <w:kern w:val="0"/>
              </w:rPr>
              <w:t>分。</w:t>
            </w:r>
          </w:p>
        </w:tc>
        <w:tc>
          <w:tcPr>
            <w:tcW w:w="822" w:type="dxa"/>
            <w:tcBorders>
              <w:top w:val="nil"/>
              <w:left w:val="nil"/>
              <w:bottom w:val="nil"/>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6</w:t>
            </w:r>
          </w:p>
        </w:tc>
        <w:tc>
          <w:tcPr>
            <w:tcW w:w="2297" w:type="dxa"/>
            <w:tcBorders>
              <w:top w:val="nil"/>
              <w:left w:val="nil"/>
              <w:bottom w:val="nil"/>
              <w:right w:val="single" w:color="auto" w:sz="4" w:space="0"/>
            </w:tcBorders>
          </w:tcPr>
          <w:p>
            <w:pPr>
              <w:widowControl/>
              <w:spacing w:line="320" w:lineRule="exact"/>
              <w:ind w:firstLine="420"/>
              <w:rPr>
                <w:rFonts w:ascii="宋体" w:hAnsi="宋体" w:cs="宋体"/>
                <w:kern w:val="0"/>
              </w:rPr>
            </w:pPr>
          </w:p>
        </w:tc>
      </w:tr>
      <w:tr>
        <w:tblPrEx>
          <w:tblCellMar>
            <w:top w:w="0" w:type="dxa"/>
            <w:left w:w="108" w:type="dxa"/>
            <w:bottom w:w="0" w:type="dxa"/>
            <w:right w:w="108" w:type="dxa"/>
          </w:tblCellMar>
        </w:tblPrEx>
        <w:trPr>
          <w:trHeight w:val="405" w:hRule="atLeast"/>
        </w:trPr>
        <w:tc>
          <w:tcPr>
            <w:tcW w:w="12044" w:type="dxa"/>
            <w:gridSpan w:val="8"/>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420"/>
              <w:jc w:val="center"/>
              <w:rPr>
                <w:rFonts w:ascii="宋体" w:hAnsi="宋体" w:cs="宋体"/>
                <w:b/>
                <w:bCs/>
                <w:kern w:val="0"/>
              </w:rPr>
            </w:pPr>
            <w:r>
              <w:rPr>
                <w:rFonts w:hint="eastAsia" w:ascii="宋体" w:hAnsi="宋体" w:cs="宋体"/>
                <w:b/>
                <w:bCs/>
                <w:kern w:val="0"/>
              </w:rPr>
              <w:t>总得分情况</w:t>
            </w:r>
          </w:p>
        </w:tc>
        <w:tc>
          <w:tcPr>
            <w:tcW w:w="822"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95.81</w:t>
            </w:r>
          </w:p>
        </w:tc>
        <w:tc>
          <w:tcPr>
            <w:tcW w:w="2297" w:type="dxa"/>
            <w:tcBorders>
              <w:top w:val="single" w:color="auto" w:sz="4" w:space="0"/>
              <w:left w:val="nil"/>
              <w:bottom w:val="single" w:color="auto" w:sz="4" w:space="0"/>
              <w:right w:val="single" w:color="auto" w:sz="4" w:space="0"/>
            </w:tcBorders>
          </w:tcPr>
          <w:p>
            <w:pPr>
              <w:widowControl/>
              <w:spacing w:line="320" w:lineRule="exact"/>
              <w:ind w:firstLine="420"/>
              <w:rPr>
                <w:rFonts w:ascii="宋体" w:hAnsi="宋体" w:cs="宋体"/>
                <w:kern w:val="0"/>
              </w:rPr>
            </w:pPr>
          </w:p>
        </w:tc>
      </w:tr>
    </w:tbl>
    <w:p>
      <w:pPr>
        <w:spacing w:line="320" w:lineRule="exact"/>
      </w:pPr>
      <w:r>
        <w:rPr>
          <w:rFonts w:hint="eastAsia" w:cs="宋体"/>
        </w:rPr>
        <w:t>附注：</w:t>
      </w:r>
      <w:r>
        <w:t>1.</w:t>
      </w:r>
      <w:r>
        <w:rPr>
          <w:rFonts w:hint="eastAsia" w:cs="宋体"/>
        </w:rPr>
        <w:t>《部门整体支出绩效评价共性指标体系框架》的适用对象是部门和单位；</w:t>
      </w:r>
    </w:p>
    <w:p>
      <w:pPr>
        <w:spacing w:line="320" w:lineRule="exact"/>
      </w:pPr>
      <w:r>
        <w:t xml:space="preserve">      2.</w:t>
      </w:r>
      <w:r>
        <w:rPr>
          <w:rFonts w:hint="eastAsia" w:cs="宋体"/>
        </w:rPr>
        <w:t>各项指标的分值是参考分值，各部门各单位在开展绩效评价时可结合不同评价对象的特点，赋予评价指标科学合理的权重分值，明确具体的评分标准。</w:t>
      </w:r>
    </w:p>
    <w:sectPr>
      <w:footerReference r:id="rId3" w:type="default"/>
      <w:pgSz w:w="16838" w:h="11906" w:orient="landscape"/>
      <w:pgMar w:top="709" w:right="820" w:bottom="1135" w:left="851" w:header="851" w:footer="680" w:gutter="0"/>
      <w:pgNumType w:fmt="numberInDash"/>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
    <w:altName w:val="方正仿宋_GBK"/>
    <w:panose1 w:val="02010609060101010101"/>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宋体S-超大字符集(SIP)">
    <w:panose1 w:val="03000509000000000000"/>
    <w:charset w:val="86"/>
    <w:family w:val="auto"/>
    <w:pitch w:val="default"/>
    <w:sig w:usb0="00000003" w:usb1="0A0E0800" w:usb2="00000006"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sz w:val="21"/>
        <w:szCs w:val="2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90D65C"/>
    <w:multiLevelType w:val="singleLevel"/>
    <w:tmpl w:val="EF90D65C"/>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jgxMmZjNWM5OTJlNjdlZWY2M2RkMDg4MjdkOWM4ZjYifQ=="/>
  </w:docVars>
  <w:rsids>
    <w:rsidRoot w:val="007C6A8D"/>
    <w:rsid w:val="0000021D"/>
    <w:rsid w:val="00015287"/>
    <w:rsid w:val="00023C89"/>
    <w:rsid w:val="0003583F"/>
    <w:rsid w:val="00056670"/>
    <w:rsid w:val="000601D8"/>
    <w:rsid w:val="000757DF"/>
    <w:rsid w:val="00096A12"/>
    <w:rsid w:val="000A3C55"/>
    <w:rsid w:val="000C1693"/>
    <w:rsid w:val="000C7F39"/>
    <w:rsid w:val="000D5ECC"/>
    <w:rsid w:val="000D6290"/>
    <w:rsid w:val="000E1445"/>
    <w:rsid w:val="000E1DA0"/>
    <w:rsid w:val="000E37D0"/>
    <w:rsid w:val="001030DE"/>
    <w:rsid w:val="00104C96"/>
    <w:rsid w:val="00114851"/>
    <w:rsid w:val="00133338"/>
    <w:rsid w:val="00143F53"/>
    <w:rsid w:val="001462C0"/>
    <w:rsid w:val="00150867"/>
    <w:rsid w:val="00156F7B"/>
    <w:rsid w:val="00165068"/>
    <w:rsid w:val="001806BA"/>
    <w:rsid w:val="00186083"/>
    <w:rsid w:val="001A1BC4"/>
    <w:rsid w:val="001A4FCA"/>
    <w:rsid w:val="001A59C6"/>
    <w:rsid w:val="001B1562"/>
    <w:rsid w:val="001B15AF"/>
    <w:rsid w:val="001D2C27"/>
    <w:rsid w:val="001E0E2B"/>
    <w:rsid w:val="001E1A5E"/>
    <w:rsid w:val="001E702E"/>
    <w:rsid w:val="001F5AA4"/>
    <w:rsid w:val="00200398"/>
    <w:rsid w:val="002060CA"/>
    <w:rsid w:val="00206938"/>
    <w:rsid w:val="0023165E"/>
    <w:rsid w:val="00235966"/>
    <w:rsid w:val="002455A2"/>
    <w:rsid w:val="0028713E"/>
    <w:rsid w:val="002910E6"/>
    <w:rsid w:val="002A7700"/>
    <w:rsid w:val="002B6BD7"/>
    <w:rsid w:val="002C0621"/>
    <w:rsid w:val="002C5049"/>
    <w:rsid w:val="002E0FBC"/>
    <w:rsid w:val="002E7D9D"/>
    <w:rsid w:val="002F5198"/>
    <w:rsid w:val="003123DE"/>
    <w:rsid w:val="00314ADF"/>
    <w:rsid w:val="00314E08"/>
    <w:rsid w:val="00323B8D"/>
    <w:rsid w:val="00333484"/>
    <w:rsid w:val="00336853"/>
    <w:rsid w:val="0035559E"/>
    <w:rsid w:val="003577C2"/>
    <w:rsid w:val="00370349"/>
    <w:rsid w:val="00374BD6"/>
    <w:rsid w:val="00382649"/>
    <w:rsid w:val="00392CF9"/>
    <w:rsid w:val="00393705"/>
    <w:rsid w:val="00394B68"/>
    <w:rsid w:val="003A3AB8"/>
    <w:rsid w:val="003B1900"/>
    <w:rsid w:val="003C21DB"/>
    <w:rsid w:val="003C3177"/>
    <w:rsid w:val="003C58B6"/>
    <w:rsid w:val="003D0481"/>
    <w:rsid w:val="003D1C32"/>
    <w:rsid w:val="003D5362"/>
    <w:rsid w:val="003E2490"/>
    <w:rsid w:val="003E5EFA"/>
    <w:rsid w:val="003F3644"/>
    <w:rsid w:val="003F3BCB"/>
    <w:rsid w:val="003F7AB7"/>
    <w:rsid w:val="00400E47"/>
    <w:rsid w:val="004063FF"/>
    <w:rsid w:val="00421E99"/>
    <w:rsid w:val="00433F78"/>
    <w:rsid w:val="00435E3D"/>
    <w:rsid w:val="00446F48"/>
    <w:rsid w:val="00447BDD"/>
    <w:rsid w:val="00471023"/>
    <w:rsid w:val="004861C3"/>
    <w:rsid w:val="004A2ADF"/>
    <w:rsid w:val="004A3245"/>
    <w:rsid w:val="004A3CFC"/>
    <w:rsid w:val="004A7FC2"/>
    <w:rsid w:val="004B47F6"/>
    <w:rsid w:val="004B65D8"/>
    <w:rsid w:val="004C3CA5"/>
    <w:rsid w:val="004C6FE8"/>
    <w:rsid w:val="004D05C9"/>
    <w:rsid w:val="004D70DA"/>
    <w:rsid w:val="004E67B6"/>
    <w:rsid w:val="00504CEC"/>
    <w:rsid w:val="00514085"/>
    <w:rsid w:val="0051517E"/>
    <w:rsid w:val="005452E0"/>
    <w:rsid w:val="00567EEA"/>
    <w:rsid w:val="0058344B"/>
    <w:rsid w:val="005914C2"/>
    <w:rsid w:val="005A7B7C"/>
    <w:rsid w:val="005C1A5C"/>
    <w:rsid w:val="005C793D"/>
    <w:rsid w:val="005D190A"/>
    <w:rsid w:val="005D4BC9"/>
    <w:rsid w:val="005D6FD8"/>
    <w:rsid w:val="005E0B90"/>
    <w:rsid w:val="005F0C07"/>
    <w:rsid w:val="005F282F"/>
    <w:rsid w:val="00601FE4"/>
    <w:rsid w:val="006346E4"/>
    <w:rsid w:val="0065716A"/>
    <w:rsid w:val="0066518B"/>
    <w:rsid w:val="006668F7"/>
    <w:rsid w:val="00666E0A"/>
    <w:rsid w:val="00670E00"/>
    <w:rsid w:val="0067593D"/>
    <w:rsid w:val="00676402"/>
    <w:rsid w:val="00692472"/>
    <w:rsid w:val="006972C8"/>
    <w:rsid w:val="006A08E5"/>
    <w:rsid w:val="006A0B18"/>
    <w:rsid w:val="006B094D"/>
    <w:rsid w:val="006B0C32"/>
    <w:rsid w:val="006D0D0B"/>
    <w:rsid w:val="006D5CC7"/>
    <w:rsid w:val="006D62EE"/>
    <w:rsid w:val="006E2C6E"/>
    <w:rsid w:val="006F0724"/>
    <w:rsid w:val="00704A7B"/>
    <w:rsid w:val="0072677E"/>
    <w:rsid w:val="0074245B"/>
    <w:rsid w:val="00742EBF"/>
    <w:rsid w:val="00744A4D"/>
    <w:rsid w:val="00750852"/>
    <w:rsid w:val="00752D49"/>
    <w:rsid w:val="007611A2"/>
    <w:rsid w:val="00775B6F"/>
    <w:rsid w:val="007804B6"/>
    <w:rsid w:val="00791A4E"/>
    <w:rsid w:val="007A33E6"/>
    <w:rsid w:val="007A7962"/>
    <w:rsid w:val="007B1093"/>
    <w:rsid w:val="007C1CAA"/>
    <w:rsid w:val="007C6A8D"/>
    <w:rsid w:val="007C77C0"/>
    <w:rsid w:val="007D20FF"/>
    <w:rsid w:val="007E03B1"/>
    <w:rsid w:val="007E16C0"/>
    <w:rsid w:val="007E3B55"/>
    <w:rsid w:val="007E576D"/>
    <w:rsid w:val="007F11FC"/>
    <w:rsid w:val="00814CBA"/>
    <w:rsid w:val="0081525B"/>
    <w:rsid w:val="0083582C"/>
    <w:rsid w:val="00844428"/>
    <w:rsid w:val="00851088"/>
    <w:rsid w:val="0085384E"/>
    <w:rsid w:val="00862580"/>
    <w:rsid w:val="00866D4F"/>
    <w:rsid w:val="00876737"/>
    <w:rsid w:val="008847AD"/>
    <w:rsid w:val="00886593"/>
    <w:rsid w:val="00886EBB"/>
    <w:rsid w:val="00894528"/>
    <w:rsid w:val="008A5510"/>
    <w:rsid w:val="008A5EE3"/>
    <w:rsid w:val="008B57B8"/>
    <w:rsid w:val="008C01DD"/>
    <w:rsid w:val="008C5E9F"/>
    <w:rsid w:val="008D19F1"/>
    <w:rsid w:val="008D3C34"/>
    <w:rsid w:val="008F1D07"/>
    <w:rsid w:val="00907B9F"/>
    <w:rsid w:val="009254A3"/>
    <w:rsid w:val="0092666D"/>
    <w:rsid w:val="00932E26"/>
    <w:rsid w:val="009346D4"/>
    <w:rsid w:val="009374E9"/>
    <w:rsid w:val="0094704A"/>
    <w:rsid w:val="0094731A"/>
    <w:rsid w:val="00962AD4"/>
    <w:rsid w:val="009712BA"/>
    <w:rsid w:val="009803FA"/>
    <w:rsid w:val="009A6166"/>
    <w:rsid w:val="009A62AB"/>
    <w:rsid w:val="009B490B"/>
    <w:rsid w:val="009B6BB4"/>
    <w:rsid w:val="009D0FB1"/>
    <w:rsid w:val="009E5172"/>
    <w:rsid w:val="009E7725"/>
    <w:rsid w:val="00A13AF0"/>
    <w:rsid w:val="00A21C76"/>
    <w:rsid w:val="00A22783"/>
    <w:rsid w:val="00A236DD"/>
    <w:rsid w:val="00A2585A"/>
    <w:rsid w:val="00A327AA"/>
    <w:rsid w:val="00A34B86"/>
    <w:rsid w:val="00A525F3"/>
    <w:rsid w:val="00A62C1B"/>
    <w:rsid w:val="00A672DF"/>
    <w:rsid w:val="00A71E36"/>
    <w:rsid w:val="00A8467D"/>
    <w:rsid w:val="00A95367"/>
    <w:rsid w:val="00AA16EA"/>
    <w:rsid w:val="00AA5338"/>
    <w:rsid w:val="00AB63C8"/>
    <w:rsid w:val="00AC140F"/>
    <w:rsid w:val="00AD4C3B"/>
    <w:rsid w:val="00AD7537"/>
    <w:rsid w:val="00AE12B1"/>
    <w:rsid w:val="00AF380B"/>
    <w:rsid w:val="00AF468F"/>
    <w:rsid w:val="00AF59E1"/>
    <w:rsid w:val="00B012E2"/>
    <w:rsid w:val="00B16374"/>
    <w:rsid w:val="00B17A9C"/>
    <w:rsid w:val="00B2050B"/>
    <w:rsid w:val="00B206AE"/>
    <w:rsid w:val="00B212CB"/>
    <w:rsid w:val="00B21797"/>
    <w:rsid w:val="00B34F10"/>
    <w:rsid w:val="00B47F3A"/>
    <w:rsid w:val="00B57DAF"/>
    <w:rsid w:val="00B602B1"/>
    <w:rsid w:val="00B65808"/>
    <w:rsid w:val="00B674FB"/>
    <w:rsid w:val="00B6768F"/>
    <w:rsid w:val="00B83E33"/>
    <w:rsid w:val="00B9050E"/>
    <w:rsid w:val="00BA3306"/>
    <w:rsid w:val="00BB7A05"/>
    <w:rsid w:val="00BC562D"/>
    <w:rsid w:val="00BD192D"/>
    <w:rsid w:val="00BF2735"/>
    <w:rsid w:val="00BF7E2E"/>
    <w:rsid w:val="00C2157C"/>
    <w:rsid w:val="00C300F9"/>
    <w:rsid w:val="00C31F30"/>
    <w:rsid w:val="00C409C6"/>
    <w:rsid w:val="00C702B8"/>
    <w:rsid w:val="00C76E8B"/>
    <w:rsid w:val="00C9199C"/>
    <w:rsid w:val="00C97A51"/>
    <w:rsid w:val="00CA1FA4"/>
    <w:rsid w:val="00CA3F1D"/>
    <w:rsid w:val="00CA5869"/>
    <w:rsid w:val="00CB6C81"/>
    <w:rsid w:val="00CB7FE9"/>
    <w:rsid w:val="00CC0E1B"/>
    <w:rsid w:val="00CC41B1"/>
    <w:rsid w:val="00CC6278"/>
    <w:rsid w:val="00CC7C71"/>
    <w:rsid w:val="00CD00CD"/>
    <w:rsid w:val="00CD503E"/>
    <w:rsid w:val="00CD69A4"/>
    <w:rsid w:val="00CE10D5"/>
    <w:rsid w:val="00CE64B2"/>
    <w:rsid w:val="00CE700B"/>
    <w:rsid w:val="00CF1C0E"/>
    <w:rsid w:val="00CF508A"/>
    <w:rsid w:val="00D07C3D"/>
    <w:rsid w:val="00D24CFB"/>
    <w:rsid w:val="00D25AD8"/>
    <w:rsid w:val="00D2701B"/>
    <w:rsid w:val="00D37D1D"/>
    <w:rsid w:val="00D41002"/>
    <w:rsid w:val="00D42A73"/>
    <w:rsid w:val="00D45CBF"/>
    <w:rsid w:val="00D50E3A"/>
    <w:rsid w:val="00D64C68"/>
    <w:rsid w:val="00D74CED"/>
    <w:rsid w:val="00D86FE6"/>
    <w:rsid w:val="00DA4BA7"/>
    <w:rsid w:val="00DC002F"/>
    <w:rsid w:val="00DD1293"/>
    <w:rsid w:val="00DE35F3"/>
    <w:rsid w:val="00DE4204"/>
    <w:rsid w:val="00DF6BC6"/>
    <w:rsid w:val="00E15C3F"/>
    <w:rsid w:val="00E219D5"/>
    <w:rsid w:val="00E25ECF"/>
    <w:rsid w:val="00E32FC9"/>
    <w:rsid w:val="00E35476"/>
    <w:rsid w:val="00E502D3"/>
    <w:rsid w:val="00E61598"/>
    <w:rsid w:val="00E75D69"/>
    <w:rsid w:val="00E93AA5"/>
    <w:rsid w:val="00E975EF"/>
    <w:rsid w:val="00EA00C3"/>
    <w:rsid w:val="00EA0A63"/>
    <w:rsid w:val="00EA1345"/>
    <w:rsid w:val="00EA77BE"/>
    <w:rsid w:val="00EC1B92"/>
    <w:rsid w:val="00ED3586"/>
    <w:rsid w:val="00ED36C1"/>
    <w:rsid w:val="00ED4F24"/>
    <w:rsid w:val="00F044EC"/>
    <w:rsid w:val="00F05CC5"/>
    <w:rsid w:val="00F25F1A"/>
    <w:rsid w:val="00F34DD9"/>
    <w:rsid w:val="00F403FB"/>
    <w:rsid w:val="00F43FFA"/>
    <w:rsid w:val="00F52F1E"/>
    <w:rsid w:val="00F57AFD"/>
    <w:rsid w:val="00F677B5"/>
    <w:rsid w:val="00F76790"/>
    <w:rsid w:val="00F85BCF"/>
    <w:rsid w:val="00F861CC"/>
    <w:rsid w:val="00F87691"/>
    <w:rsid w:val="00FA35BB"/>
    <w:rsid w:val="00FA665A"/>
    <w:rsid w:val="00FB0105"/>
    <w:rsid w:val="00FD2466"/>
    <w:rsid w:val="00FD74B5"/>
    <w:rsid w:val="00FE4834"/>
    <w:rsid w:val="00FE5124"/>
    <w:rsid w:val="00FE5273"/>
    <w:rsid w:val="016D031A"/>
    <w:rsid w:val="02F85BE8"/>
    <w:rsid w:val="0345289B"/>
    <w:rsid w:val="053D7B24"/>
    <w:rsid w:val="05AA7A71"/>
    <w:rsid w:val="05E81570"/>
    <w:rsid w:val="06286A72"/>
    <w:rsid w:val="0674197E"/>
    <w:rsid w:val="08A83B1E"/>
    <w:rsid w:val="08E30875"/>
    <w:rsid w:val="0A4E4A64"/>
    <w:rsid w:val="0C2660EE"/>
    <w:rsid w:val="0E1F7E38"/>
    <w:rsid w:val="0E6E53A8"/>
    <w:rsid w:val="0EFA6523"/>
    <w:rsid w:val="0F7A7201"/>
    <w:rsid w:val="109778B1"/>
    <w:rsid w:val="10FE257C"/>
    <w:rsid w:val="111373C4"/>
    <w:rsid w:val="12C219EE"/>
    <w:rsid w:val="12EA5802"/>
    <w:rsid w:val="12F04A02"/>
    <w:rsid w:val="132A60DB"/>
    <w:rsid w:val="139B7D93"/>
    <w:rsid w:val="139E5327"/>
    <w:rsid w:val="13C0361A"/>
    <w:rsid w:val="15510EFE"/>
    <w:rsid w:val="16481DC3"/>
    <w:rsid w:val="177E7C88"/>
    <w:rsid w:val="1A2B7A5E"/>
    <w:rsid w:val="1C1A2847"/>
    <w:rsid w:val="1C7C3B93"/>
    <w:rsid w:val="1CC17E7B"/>
    <w:rsid w:val="1CC40E0B"/>
    <w:rsid w:val="1D087A2A"/>
    <w:rsid w:val="1E2135DF"/>
    <w:rsid w:val="1E3E2395"/>
    <w:rsid w:val="1E6934A7"/>
    <w:rsid w:val="1E7179CB"/>
    <w:rsid w:val="1ED73206"/>
    <w:rsid w:val="1F094E7C"/>
    <w:rsid w:val="1FD35519"/>
    <w:rsid w:val="20110D58"/>
    <w:rsid w:val="20856063"/>
    <w:rsid w:val="216D00E9"/>
    <w:rsid w:val="21A87236"/>
    <w:rsid w:val="21E62B47"/>
    <w:rsid w:val="226B5FB7"/>
    <w:rsid w:val="23CF0C6D"/>
    <w:rsid w:val="24366719"/>
    <w:rsid w:val="2519044B"/>
    <w:rsid w:val="253B0D82"/>
    <w:rsid w:val="27896855"/>
    <w:rsid w:val="28272887"/>
    <w:rsid w:val="2924604E"/>
    <w:rsid w:val="29551E63"/>
    <w:rsid w:val="29BE6C91"/>
    <w:rsid w:val="29BF4248"/>
    <w:rsid w:val="2B1910B9"/>
    <w:rsid w:val="2B6B744C"/>
    <w:rsid w:val="2B8C63D8"/>
    <w:rsid w:val="2BB81E15"/>
    <w:rsid w:val="2BBD3104"/>
    <w:rsid w:val="2BEA5A77"/>
    <w:rsid w:val="2C6D33CA"/>
    <w:rsid w:val="2DC43E40"/>
    <w:rsid w:val="304578A5"/>
    <w:rsid w:val="30B54EDD"/>
    <w:rsid w:val="32BA1BDB"/>
    <w:rsid w:val="343B015F"/>
    <w:rsid w:val="35D2559D"/>
    <w:rsid w:val="38413E9E"/>
    <w:rsid w:val="38A54FB6"/>
    <w:rsid w:val="38F23849"/>
    <w:rsid w:val="38FF671E"/>
    <w:rsid w:val="3A176C79"/>
    <w:rsid w:val="3B42177B"/>
    <w:rsid w:val="3B9708FC"/>
    <w:rsid w:val="3BC83110"/>
    <w:rsid w:val="3D895CE2"/>
    <w:rsid w:val="3E125F15"/>
    <w:rsid w:val="406A2F03"/>
    <w:rsid w:val="416A4D69"/>
    <w:rsid w:val="41857C4A"/>
    <w:rsid w:val="43593E4F"/>
    <w:rsid w:val="44E27D62"/>
    <w:rsid w:val="450A5664"/>
    <w:rsid w:val="45867650"/>
    <w:rsid w:val="475F2AE8"/>
    <w:rsid w:val="497211C8"/>
    <w:rsid w:val="4A435FC7"/>
    <w:rsid w:val="4A884674"/>
    <w:rsid w:val="4AC11BC3"/>
    <w:rsid w:val="4C5818B9"/>
    <w:rsid w:val="4DA30BE4"/>
    <w:rsid w:val="4DCE257F"/>
    <w:rsid w:val="4E2B2C44"/>
    <w:rsid w:val="4F9524F3"/>
    <w:rsid w:val="524D4A13"/>
    <w:rsid w:val="52A64FBB"/>
    <w:rsid w:val="535F667F"/>
    <w:rsid w:val="536D3F2B"/>
    <w:rsid w:val="56A76833"/>
    <w:rsid w:val="56CB358E"/>
    <w:rsid w:val="574E0567"/>
    <w:rsid w:val="579821DE"/>
    <w:rsid w:val="57A5060B"/>
    <w:rsid w:val="5A2B1AD9"/>
    <w:rsid w:val="5B0C6687"/>
    <w:rsid w:val="5B495A9B"/>
    <w:rsid w:val="5CAA5FED"/>
    <w:rsid w:val="5D54779B"/>
    <w:rsid w:val="5D6069F3"/>
    <w:rsid w:val="5D626FE9"/>
    <w:rsid w:val="5D6C40D4"/>
    <w:rsid w:val="5D814826"/>
    <w:rsid w:val="5EEF12C3"/>
    <w:rsid w:val="5F69709B"/>
    <w:rsid w:val="60840E87"/>
    <w:rsid w:val="61AA6262"/>
    <w:rsid w:val="6284578B"/>
    <w:rsid w:val="62ED735D"/>
    <w:rsid w:val="6506087A"/>
    <w:rsid w:val="65124A2C"/>
    <w:rsid w:val="651613C9"/>
    <w:rsid w:val="65AA5143"/>
    <w:rsid w:val="65B40646"/>
    <w:rsid w:val="65F61BC5"/>
    <w:rsid w:val="677660FC"/>
    <w:rsid w:val="677E3C8F"/>
    <w:rsid w:val="6783353F"/>
    <w:rsid w:val="69966E78"/>
    <w:rsid w:val="6B7D34FB"/>
    <w:rsid w:val="6C235BE7"/>
    <w:rsid w:val="6C553829"/>
    <w:rsid w:val="6E4B6F6A"/>
    <w:rsid w:val="6E790732"/>
    <w:rsid w:val="6E804DCD"/>
    <w:rsid w:val="6FE803B0"/>
    <w:rsid w:val="7099226F"/>
    <w:rsid w:val="71DC7D3D"/>
    <w:rsid w:val="72786656"/>
    <w:rsid w:val="72F95F7C"/>
    <w:rsid w:val="73B21CB2"/>
    <w:rsid w:val="73F95F26"/>
    <w:rsid w:val="74963480"/>
    <w:rsid w:val="75365808"/>
    <w:rsid w:val="75AA1C8F"/>
    <w:rsid w:val="75C335B1"/>
    <w:rsid w:val="75D35B20"/>
    <w:rsid w:val="76DD3536"/>
    <w:rsid w:val="79221E30"/>
    <w:rsid w:val="79936299"/>
    <w:rsid w:val="79EE2294"/>
    <w:rsid w:val="7A304C27"/>
    <w:rsid w:val="7AA52610"/>
    <w:rsid w:val="7B95137A"/>
    <w:rsid w:val="7DA7343C"/>
    <w:rsid w:val="7DD015C9"/>
    <w:rsid w:val="7FB7139F"/>
    <w:rsid w:val="7FFB1131"/>
    <w:rsid w:val="8EA0EF89"/>
    <w:rsid w:val="DE6BB158"/>
    <w:rsid w:val="FD7F6CF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rPr>
      <w:sz w:val="20"/>
      <w:szCs w:val="20"/>
    </w:rPr>
  </w:style>
  <w:style w:type="paragraph" w:styleId="3">
    <w:name w:val="Body Text"/>
    <w:basedOn w:val="1"/>
    <w:link w:val="20"/>
    <w:unhideWhenUsed/>
    <w:qFormat/>
    <w:uiPriority w:val="99"/>
    <w:pPr>
      <w:jc w:val="center"/>
    </w:pPr>
    <w:rPr>
      <w:rFonts w:asciiTheme="minorHAnsi" w:hAnsiTheme="minorHAnsi" w:eastAsiaTheme="minorEastAsia" w:cstheme="minorBidi"/>
    </w:rPr>
  </w:style>
  <w:style w:type="paragraph" w:styleId="4">
    <w:name w:val="endnote text"/>
    <w:basedOn w:val="1"/>
    <w:link w:val="19"/>
    <w:unhideWhenUsed/>
    <w:qFormat/>
    <w:uiPriority w:val="99"/>
    <w:pPr>
      <w:snapToGrid w:val="0"/>
      <w:jc w:val="left"/>
    </w:pPr>
  </w:style>
  <w:style w:type="paragraph" w:styleId="5">
    <w:name w:val="Balloon Text"/>
    <w:basedOn w:val="1"/>
    <w:link w:val="16"/>
    <w:unhideWhenUsed/>
    <w:qFormat/>
    <w:uiPriority w:val="99"/>
    <w:rPr>
      <w:sz w:val="18"/>
      <w:szCs w:val="18"/>
    </w:rPr>
  </w:style>
  <w:style w:type="paragraph" w:styleId="6">
    <w:name w:val="footer"/>
    <w:basedOn w:val="1"/>
    <w:link w:val="18"/>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2"/>
    <w:basedOn w:val="1"/>
    <w:next w:val="1"/>
    <w:unhideWhenUsed/>
    <w:qFormat/>
    <w:uiPriority w:val="39"/>
    <w:pPr>
      <w:ind w:left="420" w:leftChars="200"/>
    </w:pPr>
  </w:style>
  <w:style w:type="character" w:styleId="11">
    <w:name w:val="endnote reference"/>
    <w:basedOn w:val="10"/>
    <w:unhideWhenUsed/>
    <w:qFormat/>
    <w:uiPriority w:val="99"/>
    <w:rPr>
      <w:vertAlign w:val="superscript"/>
    </w:rPr>
  </w:style>
  <w:style w:type="character" w:styleId="12">
    <w:name w:val="page number"/>
    <w:basedOn w:val="10"/>
    <w:qFormat/>
    <w:uiPriority w:val="99"/>
  </w:style>
  <w:style w:type="character" w:styleId="13">
    <w:name w:val="FollowedHyperlink"/>
    <w:basedOn w:val="10"/>
    <w:unhideWhenUsed/>
    <w:qFormat/>
    <w:uiPriority w:val="99"/>
    <w:rPr>
      <w:color w:val="333333"/>
      <w:u w:val="none"/>
    </w:rPr>
  </w:style>
  <w:style w:type="character" w:styleId="14">
    <w:name w:val="Emphasis"/>
    <w:basedOn w:val="10"/>
    <w:qFormat/>
    <w:uiPriority w:val="20"/>
  </w:style>
  <w:style w:type="character" w:styleId="15">
    <w:name w:val="Hyperlink"/>
    <w:basedOn w:val="10"/>
    <w:unhideWhenUsed/>
    <w:qFormat/>
    <w:uiPriority w:val="99"/>
    <w:rPr>
      <w:color w:val="333333"/>
      <w:u w:val="none"/>
    </w:rPr>
  </w:style>
  <w:style w:type="character" w:customStyle="1" w:styleId="16">
    <w:name w:val="批注框文本 Char"/>
    <w:basedOn w:val="10"/>
    <w:link w:val="5"/>
    <w:semiHidden/>
    <w:qFormat/>
    <w:uiPriority w:val="99"/>
    <w:rPr>
      <w:rFonts w:ascii="Times New Roman" w:hAnsi="Times New Roman" w:eastAsia="宋体" w:cs="Times New Roman"/>
      <w:sz w:val="18"/>
      <w:szCs w:val="18"/>
    </w:rPr>
  </w:style>
  <w:style w:type="character" w:customStyle="1" w:styleId="17">
    <w:name w:val="页眉 Char"/>
    <w:basedOn w:val="10"/>
    <w:link w:val="7"/>
    <w:qFormat/>
    <w:uiPriority w:val="99"/>
    <w:rPr>
      <w:rFonts w:ascii="Times New Roman" w:hAnsi="Times New Roman" w:eastAsia="宋体" w:cs="Times New Roman"/>
      <w:sz w:val="18"/>
      <w:szCs w:val="18"/>
    </w:rPr>
  </w:style>
  <w:style w:type="character" w:customStyle="1" w:styleId="18">
    <w:name w:val="页脚 Char"/>
    <w:basedOn w:val="10"/>
    <w:link w:val="6"/>
    <w:qFormat/>
    <w:uiPriority w:val="99"/>
    <w:rPr>
      <w:rFonts w:ascii="Times New Roman" w:hAnsi="Times New Roman" w:eastAsia="宋体" w:cs="Times New Roman"/>
      <w:sz w:val="18"/>
      <w:szCs w:val="18"/>
    </w:rPr>
  </w:style>
  <w:style w:type="character" w:customStyle="1" w:styleId="19">
    <w:name w:val="尾注文本 Char"/>
    <w:basedOn w:val="10"/>
    <w:link w:val="4"/>
    <w:semiHidden/>
    <w:qFormat/>
    <w:uiPriority w:val="99"/>
    <w:rPr>
      <w:rFonts w:ascii="Times New Roman" w:hAnsi="Times New Roman" w:eastAsia="宋体" w:cs="Times New Roman"/>
      <w:szCs w:val="24"/>
    </w:rPr>
  </w:style>
  <w:style w:type="character" w:customStyle="1" w:styleId="20">
    <w:name w:val="正文文本 Char"/>
    <w:basedOn w:val="10"/>
    <w:link w:val="3"/>
    <w:qFormat/>
    <w:uiPriority w:val="99"/>
    <w:rPr>
      <w:kern w:val="2"/>
      <w:sz w:val="21"/>
      <w:szCs w:val="24"/>
    </w:rPr>
  </w:style>
  <w:style w:type="character" w:customStyle="1" w:styleId="21">
    <w:name w:val="正文文本 Char1"/>
    <w:basedOn w:val="10"/>
    <w:semiHidden/>
    <w:qFormat/>
    <w:uiPriority w:val="99"/>
    <w:rPr>
      <w:rFonts w:ascii="Times New Roman" w:hAnsi="Times New Roman" w:eastAsia="宋体" w:cs="Times New Roman"/>
      <w:kern w:val="2"/>
      <w:sz w:val="21"/>
      <w:szCs w:val="24"/>
    </w:rPr>
  </w:style>
  <w:style w:type="paragraph" w:customStyle="1" w:styleId="22">
    <w:name w:val="List Paragraph"/>
    <w:basedOn w:val="1"/>
    <w:unhideWhenUsed/>
    <w:qFormat/>
    <w:uiPriority w:val="99"/>
    <w:pPr>
      <w:ind w:firstLine="420" w:firstLineChars="200"/>
    </w:pPr>
  </w:style>
  <w:style w:type="character" w:customStyle="1" w:styleId="23">
    <w:name w:val="on"/>
    <w:basedOn w:val="10"/>
    <w:qFormat/>
    <w:uiPriority w:val="0"/>
    <w:rPr>
      <w:shd w:val="clear" w:color="auto" w:fill="FFFFFF"/>
    </w:rPr>
  </w:style>
  <w:style w:type="paragraph" w:customStyle="1" w:styleId="24">
    <w:name w:val="_Style 23"/>
    <w:basedOn w:val="1"/>
    <w:next w:val="1"/>
    <w:qFormat/>
    <w:uiPriority w:val="0"/>
    <w:pPr>
      <w:pBdr>
        <w:bottom w:val="single" w:color="auto" w:sz="6" w:space="1"/>
      </w:pBdr>
      <w:jc w:val="center"/>
    </w:pPr>
    <w:rPr>
      <w:rFonts w:ascii="Arial"/>
      <w:vanish/>
      <w:sz w:val="16"/>
    </w:rPr>
  </w:style>
  <w:style w:type="paragraph" w:customStyle="1" w:styleId="25">
    <w:name w:val="_Style 24"/>
    <w:basedOn w:val="1"/>
    <w:next w:val="1"/>
    <w:qFormat/>
    <w:uiPriority w:val="0"/>
    <w:pPr>
      <w:pBdr>
        <w:top w:val="single" w:color="auto" w:sz="6" w:space="1"/>
      </w:pBdr>
      <w:jc w:val="center"/>
    </w:pPr>
    <w:rPr>
      <w:rFonts w:ascii="Arial"/>
      <w:vanish/>
      <w:sz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32</Pages>
  <Words>16238</Words>
  <Characters>16986</Characters>
  <Lines>125</Lines>
  <Paragraphs>35</Paragraphs>
  <TotalTime>15</TotalTime>
  <ScaleCrop>false</ScaleCrop>
  <LinksUpToDate>false</LinksUpToDate>
  <CharactersWithSpaces>17138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2021-05-03T08:46:00Z</dcterms:created>
  <dc:creator>桂鑫</dc:creator>
  <cp:lastModifiedBy>邓国威</cp:lastModifiedBy>
  <dcterms:modified xsi:type="dcterms:W3CDTF">2023-11-16T10:13:29Z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7F39CE9C0325425C9FE03BE32E0AC86F</vt:lpwstr>
  </property>
</Properties>
</file>